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黑体" w:hAnsi="黑体" w:eastAsia="黑体" w:cs="黑体"/>
          <w:bCs/>
          <w:sz w:val="32"/>
          <w:szCs w:val="32"/>
        </w:rPr>
      </w:pPr>
      <w:bookmarkStart w:id="0" w:name="_GoBack"/>
      <w:bookmarkEnd w:id="0"/>
      <w:r>
        <w:rPr>
          <w:rFonts w:hint="eastAsia" w:ascii="黑体" w:hAnsi="黑体" w:eastAsia="黑体" w:cs="黑体"/>
          <w:bCs/>
          <w:sz w:val="32"/>
          <w:szCs w:val="32"/>
        </w:rPr>
        <w:t>附件2</w:t>
      </w:r>
    </w:p>
    <w:p>
      <w:pPr>
        <w:spacing w:line="580" w:lineRule="exact"/>
        <w:jc w:val="center"/>
        <w:rPr>
          <w:rFonts w:ascii="Times New Roman" w:hAnsi="Times New Roman" w:eastAsia="方正小标宋简体" w:cs="Times New Roman"/>
          <w:bCs/>
          <w:sz w:val="44"/>
          <w:szCs w:val="44"/>
        </w:rPr>
      </w:pPr>
    </w:p>
    <w:p>
      <w:pPr>
        <w:spacing w:line="580" w:lineRule="exact"/>
        <w:jc w:val="center"/>
        <w:rPr>
          <w:rFonts w:ascii="Times New Roman" w:hAnsi="Times New Roman" w:eastAsia="方正小标宋简体" w:cs="Times New Roman"/>
          <w:bCs/>
          <w:spacing w:val="-20"/>
          <w:sz w:val="44"/>
          <w:szCs w:val="44"/>
        </w:rPr>
      </w:pPr>
      <w:r>
        <w:rPr>
          <w:rFonts w:ascii="Times New Roman" w:hAnsi="Times New Roman" w:eastAsia="方正小标宋简体" w:cs="Times New Roman"/>
          <w:bCs/>
          <w:spacing w:val="-20"/>
          <w:sz w:val="44"/>
          <w:szCs w:val="44"/>
        </w:rPr>
        <w:t>株洲市“智赋千企”三年行动实施方案</w:t>
      </w:r>
    </w:p>
    <w:p>
      <w:pPr>
        <w:spacing w:line="580" w:lineRule="exact"/>
        <w:jc w:val="center"/>
        <w:rPr>
          <w:rFonts w:ascii="Times New Roman" w:hAnsi="Times New Roman" w:eastAsia="方正小标宋简体" w:cs="Times New Roman"/>
          <w:bCs/>
          <w:spacing w:val="-20"/>
          <w:sz w:val="44"/>
          <w:szCs w:val="44"/>
        </w:rPr>
      </w:pPr>
      <w:r>
        <w:rPr>
          <w:rFonts w:ascii="Times New Roman" w:hAnsi="Times New Roman" w:eastAsia="方正小标宋简体" w:cs="Times New Roman"/>
          <w:bCs/>
          <w:spacing w:val="-20"/>
          <w:sz w:val="44"/>
          <w:szCs w:val="44"/>
        </w:rPr>
        <w:t>（2023—2025年）</w:t>
      </w:r>
    </w:p>
    <w:p>
      <w:pPr>
        <w:spacing w:line="580" w:lineRule="exact"/>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（征求意见稿）</w:t>
      </w:r>
    </w:p>
    <w:p>
      <w:pPr>
        <w:spacing w:line="580" w:lineRule="exact"/>
        <w:jc w:val="center"/>
        <w:rPr>
          <w:rFonts w:ascii="Times New Roman" w:hAnsi="Times New Roman" w:eastAsia="方正楷体_GBK" w:cs="Times New Roman"/>
          <w:bCs/>
          <w:sz w:val="44"/>
          <w:szCs w:val="44"/>
        </w:rPr>
      </w:pPr>
    </w:p>
    <w:p>
      <w:pPr>
        <w:spacing w:line="58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为深入贯彻</w:t>
      </w:r>
      <w:r>
        <w:rPr>
          <w:rFonts w:ascii="Times New Roman" w:hAnsi="Times New Roman" w:eastAsia="仿宋" w:cs="Times New Roman"/>
          <w:sz w:val="32"/>
          <w:szCs w:val="32"/>
        </w:rPr>
        <w:t>党的二十大关于加快数字经济和实体经济深度融合的战略部署</w:t>
      </w:r>
      <w:r>
        <w:rPr>
          <w:rFonts w:ascii="Times New Roman" w:hAnsi="Times New Roman" w:eastAsia="仿宋" w:cs="Times New Roman"/>
          <w:bCs/>
          <w:sz w:val="32"/>
          <w:szCs w:val="32"/>
        </w:rPr>
        <w:t>，全面落实《湖南省“智赋万企”行动方案（2023—2025年）》工作要求，加快推进</w:t>
      </w:r>
      <w:r>
        <w:rPr>
          <w:rFonts w:ascii="Times New Roman" w:hAnsi="Times New Roman" w:eastAsia="仿宋" w:cs="Times New Roman"/>
          <w:sz w:val="32"/>
          <w:szCs w:val="32"/>
        </w:rPr>
        <w:t>新一代信息技术赋能我市</w:t>
      </w:r>
      <w:r>
        <w:rPr>
          <w:rFonts w:ascii="Times New Roman" w:hAnsi="Times New Roman" w:eastAsia="仿宋" w:cs="Times New Roman"/>
          <w:bCs/>
          <w:sz w:val="32"/>
          <w:szCs w:val="32"/>
        </w:rPr>
        <w:t>企业数字化改造、网络化协同、智能化升级，着力提升企业综合实力和产业核心竞争力，结合株洲实际，特制定本行动方案。</w:t>
      </w: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一、总体要求</w:t>
      </w:r>
    </w:p>
    <w:p>
      <w:pPr>
        <w:spacing w:line="580" w:lineRule="exact"/>
        <w:ind w:firstLine="640" w:firstLineChars="200"/>
        <w:rPr>
          <w:rFonts w:ascii="Times New Roman" w:hAnsi="Times New Roman" w:eastAsia="黑体" w:cs="Times New Roman"/>
          <w:sz w:val="32"/>
          <w:szCs w:val="32"/>
        </w:rPr>
      </w:pPr>
      <w:r>
        <w:rPr>
          <w:rFonts w:ascii="Times New Roman" w:hAnsi="Times New Roman" w:eastAsia="仿宋" w:cs="Times New Roman"/>
          <w:bCs/>
          <w:sz w:val="32"/>
          <w:szCs w:val="32"/>
        </w:rPr>
        <w:t>坚持以习近平新时代中国特色社会主义思想为指导，深入贯彻党的二十大精神和习近平总书记对湖南重要讲话重要指示批示精神，全面落实“三高四新”战略定位和使命任务，</w:t>
      </w:r>
      <w:r>
        <w:rPr>
          <w:rFonts w:ascii="Times New Roman" w:hAnsi="Times New Roman" w:eastAsia="仿宋" w:cs="Times New Roman"/>
          <w:sz w:val="32"/>
          <w:szCs w:val="32"/>
        </w:rPr>
        <w:t>以新一代信息技术与制造业深度融合发展为主线，以</w:t>
      </w:r>
      <w:r>
        <w:rPr>
          <w:rFonts w:ascii="Times New Roman" w:hAnsi="Times New Roman" w:eastAsia="仿宋" w:cs="Times New Roman"/>
          <w:bCs/>
          <w:sz w:val="32"/>
          <w:szCs w:val="32"/>
        </w:rPr>
        <w:t>持续推进产业数字化、数字产业化为目标，以智能制造为</w:t>
      </w:r>
      <w:r>
        <w:rPr>
          <w:rFonts w:hint="eastAsia" w:ascii="Times New Roman" w:hAnsi="Times New Roman" w:eastAsia="仿宋" w:cs="Times New Roman"/>
          <w:bCs/>
          <w:sz w:val="32"/>
          <w:szCs w:val="32"/>
        </w:rPr>
        <w:t>主攻方向</w:t>
      </w:r>
      <w:r>
        <w:rPr>
          <w:rFonts w:ascii="Times New Roman" w:hAnsi="Times New Roman" w:eastAsia="仿宋" w:cs="Times New Roman"/>
          <w:bCs/>
          <w:sz w:val="32"/>
          <w:szCs w:val="32"/>
        </w:rPr>
        <w:t>，加快大数据、人工智能、云计算、5G等数字技术与实体经济融合创新应用，推动</w:t>
      </w:r>
      <w:r>
        <w:rPr>
          <w:rFonts w:hint="eastAsia" w:ascii="Times New Roman" w:hAnsi="Times New Roman" w:eastAsia="仿宋" w:cs="Times New Roman"/>
          <w:bCs/>
          <w:sz w:val="32"/>
          <w:szCs w:val="32"/>
        </w:rPr>
        <w:t>株洲“3+3+2”现代化产业体系</w:t>
      </w:r>
      <w:r>
        <w:rPr>
          <w:rFonts w:ascii="Times New Roman" w:hAnsi="Times New Roman" w:eastAsia="仿宋" w:cs="Times New Roman"/>
          <w:bCs/>
          <w:sz w:val="32"/>
          <w:szCs w:val="32"/>
        </w:rPr>
        <w:t>高端化智能化</w:t>
      </w:r>
      <w:r>
        <w:rPr>
          <w:rFonts w:hint="eastAsia" w:ascii="Times New Roman" w:hAnsi="Times New Roman" w:eastAsia="仿宋" w:cs="Times New Roman"/>
          <w:bCs/>
          <w:sz w:val="32"/>
          <w:szCs w:val="32"/>
        </w:rPr>
        <w:t>绿色化</w:t>
      </w:r>
      <w:r>
        <w:rPr>
          <w:rFonts w:ascii="Times New Roman" w:hAnsi="Times New Roman" w:eastAsia="仿宋" w:cs="Times New Roman"/>
          <w:bCs/>
          <w:sz w:val="32"/>
          <w:szCs w:val="32"/>
        </w:rPr>
        <w:t>发展</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为加快培育制造名城、打造国家重要先进制造业高地赋能增效。</w:t>
      </w: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二、工作目标</w:t>
      </w:r>
    </w:p>
    <w:p>
      <w:pPr>
        <w:spacing w:line="58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2023-</w:t>
      </w:r>
      <w:r>
        <w:rPr>
          <w:rFonts w:ascii="Times New Roman" w:hAnsi="Times New Roman" w:eastAsia="仿宋" w:cs="Times New Roman"/>
          <w:bCs/>
          <w:sz w:val="32"/>
          <w:szCs w:val="32"/>
        </w:rPr>
        <w:t>2025年，新一代信息技术与实体经济融合发展水平显著提升，数字株洲服务支撑体系基本完善，制造业高质量发展成效显著，数字经济年均增长15%以上。推动全市新增1.65万家企业上云</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1500家企业上平台。全市规模以上</w:t>
      </w:r>
      <w:r>
        <w:rPr>
          <w:rFonts w:ascii="Times New Roman" w:hAnsi="Times New Roman" w:eastAsia="仿宋" w:cs="Times New Roman"/>
          <w:bCs/>
          <w:color w:val="000000"/>
          <w:sz w:val="32"/>
          <w:szCs w:val="32"/>
        </w:rPr>
        <w:t>制造业企业</w:t>
      </w:r>
      <w:r>
        <w:rPr>
          <w:rFonts w:ascii="Times New Roman" w:hAnsi="Times New Roman" w:eastAsia="仿宋" w:cs="Times New Roman"/>
          <w:bCs/>
          <w:sz w:val="32"/>
          <w:szCs w:val="32"/>
        </w:rPr>
        <w:t>实现数字化网络化覆盖率达80%，工业互联网平台在规模工业企业中的普及率达60%。</w:t>
      </w:r>
      <w:r>
        <w:rPr>
          <w:rFonts w:ascii="Times New Roman" w:hAnsi="Times New Roman" w:eastAsia="仿宋" w:cs="Times New Roman"/>
          <w:bCs/>
          <w:color w:val="000000"/>
          <w:sz w:val="32"/>
          <w:szCs w:val="32"/>
        </w:rPr>
        <w:t>打造200家智能制造企业、600条（个）智能制造生产线（车间）、3000个智能工位。</w:t>
      </w:r>
      <w:r>
        <w:rPr>
          <w:rFonts w:ascii="Times New Roman" w:hAnsi="Times New Roman" w:eastAsia="仿宋" w:cs="Times New Roman"/>
          <w:bCs/>
          <w:sz w:val="32"/>
          <w:szCs w:val="32"/>
        </w:rPr>
        <w:t>孵化1000家左右创新型中小企业，培育300家左右省级专精特新中小企业、100家左右国家级专精特新“小巨人”企业。打造20个左右单项冠军企业（产品）。推动100家以上企业通过国家两化融合管理体系贯标。</w:t>
      </w: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三、行动举措</w:t>
      </w:r>
    </w:p>
    <w:p>
      <w:pPr>
        <w:spacing w:line="580" w:lineRule="exact"/>
        <w:ind w:firstLine="643" w:firstLineChars="200"/>
        <w:rPr>
          <w:rFonts w:ascii="Times New Roman" w:hAnsi="Times New Roman" w:eastAsia="楷体" w:cs="Times New Roman"/>
          <w:b/>
          <w:sz w:val="32"/>
          <w:szCs w:val="32"/>
        </w:rPr>
      </w:pPr>
      <w:r>
        <w:rPr>
          <w:rFonts w:ascii="Times New Roman" w:hAnsi="Times New Roman" w:eastAsia="楷体" w:cs="Times New Roman"/>
          <w:b/>
          <w:sz w:val="32"/>
          <w:szCs w:val="32"/>
        </w:rPr>
        <w:t>（一）强化底座支撑，提升新型基础设施建设水平。</w:t>
      </w:r>
    </w:p>
    <w:p>
      <w:pPr>
        <w:spacing w:line="580" w:lineRule="exact"/>
        <w:ind w:firstLine="643" w:firstLineChars="200"/>
        <w:rPr>
          <w:rFonts w:ascii="Times New Roman" w:hAnsi="Times New Roman" w:eastAsia="仿宋" w:cs="Times New Roman"/>
          <w:bCs/>
          <w:sz w:val="32"/>
          <w:szCs w:val="32"/>
        </w:rPr>
      </w:pPr>
      <w:r>
        <w:rPr>
          <w:rFonts w:ascii="Times New Roman" w:hAnsi="Times New Roman" w:eastAsia="楷体" w:cs="Times New Roman"/>
          <w:b/>
          <w:bCs/>
          <w:sz w:val="32"/>
          <w:szCs w:val="32"/>
        </w:rPr>
        <w:t>1.实施网络设施强基行动。</w:t>
      </w:r>
      <w:r>
        <w:rPr>
          <w:rFonts w:ascii="Times New Roman" w:hAnsi="Times New Roman" w:eastAsia="仿宋" w:cs="Times New Roman"/>
          <w:bCs/>
          <w:sz w:val="32"/>
          <w:szCs w:val="32"/>
        </w:rPr>
        <w:t>构建支撑实体经济全要素、全产业链、全价值链互联互通的网络基础设施，推进5G网络深度覆盖</w:t>
      </w:r>
      <w:r>
        <w:rPr>
          <w:rFonts w:ascii="Times New Roman" w:hAnsi="Times New Roman" w:eastAsia="仿宋" w:cs="Times New Roman"/>
          <w:sz w:val="32"/>
          <w:szCs w:val="32"/>
        </w:rPr>
        <w:t>。</w:t>
      </w:r>
      <w:r>
        <w:rPr>
          <w:rFonts w:ascii="Times New Roman" w:hAnsi="Times New Roman" w:eastAsia="仿宋" w:cs="Times New Roman"/>
          <w:b/>
          <w:bCs/>
          <w:sz w:val="32"/>
          <w:szCs w:val="32"/>
        </w:rPr>
        <w:t>完善5G通信网络建设</w:t>
      </w:r>
      <w:r>
        <w:rPr>
          <w:rFonts w:ascii="Times New Roman" w:hAnsi="Times New Roman" w:eastAsia="仿宋" w:cs="Times New Roman"/>
          <w:sz w:val="32"/>
          <w:szCs w:val="32"/>
        </w:rPr>
        <w:t>。</w:t>
      </w:r>
      <w:r>
        <w:rPr>
          <w:rFonts w:ascii="Times New Roman" w:hAnsi="Times New Roman" w:eastAsia="仿宋" w:cs="Times New Roman"/>
          <w:bCs/>
          <w:sz w:val="32"/>
          <w:szCs w:val="32"/>
        </w:rPr>
        <w:t>加快工业园区、重点企业、医疗机构等重点区域5G网络的深度覆盖。推动开展F5G+5G专网试点，探索5G专网建设运营模式。推动5G与工业互联网的融合创新，支持重点行业龙头企业进行5G内网改造。</w:t>
      </w:r>
      <w:r>
        <w:rPr>
          <w:rFonts w:ascii="Times New Roman" w:hAnsi="Times New Roman" w:eastAsia="仿宋" w:cs="Times New Roman"/>
          <w:sz w:val="32"/>
          <w:szCs w:val="32"/>
        </w:rPr>
        <w:t>到2025年，</w:t>
      </w:r>
      <w:r>
        <w:rPr>
          <w:rFonts w:ascii="Times New Roman" w:hAnsi="Times New Roman" w:eastAsia="仿宋" w:cs="Times New Roman"/>
          <w:bCs/>
          <w:sz w:val="32"/>
          <w:szCs w:val="32"/>
        </w:rPr>
        <w:t>新建5G基站3000个左右，每万人拥有5G基站数超过</w:t>
      </w:r>
      <w:r>
        <w:rPr>
          <w:rFonts w:hint="eastAsia" w:ascii="Times New Roman" w:hAnsi="Times New Roman" w:eastAsia="仿宋" w:cs="Times New Roman"/>
          <w:bCs/>
          <w:sz w:val="32"/>
          <w:szCs w:val="32"/>
        </w:rPr>
        <w:t>20</w:t>
      </w:r>
      <w:r>
        <w:rPr>
          <w:rFonts w:ascii="Times New Roman" w:hAnsi="Times New Roman" w:eastAsia="仿宋" w:cs="Times New Roman"/>
          <w:bCs/>
          <w:sz w:val="32"/>
          <w:szCs w:val="32"/>
        </w:rPr>
        <w:t>个。</w:t>
      </w:r>
      <w:r>
        <w:rPr>
          <w:rFonts w:ascii="Times New Roman" w:hAnsi="Times New Roman" w:eastAsia="仿宋" w:cs="Times New Roman"/>
          <w:b/>
          <w:bCs/>
          <w:sz w:val="32"/>
          <w:szCs w:val="32"/>
        </w:rPr>
        <w:t>推动标识解析节点建设。</w:t>
      </w:r>
      <w:r>
        <w:rPr>
          <w:rFonts w:ascii="Times New Roman" w:hAnsi="Times New Roman" w:eastAsia="仿宋" w:cs="Times New Roman"/>
          <w:bCs/>
          <w:sz w:val="32"/>
          <w:szCs w:val="32"/>
        </w:rPr>
        <w:t>加强与国内领先标识解析服务提供商的交流合作，推进工业互联网二级标识解析节点建设。围绕株洲“3+3+2”现代化产业体系重点发展的13条产业链，引导建设和运营一批工业互联网标识解析二级节点平台，加快形成面向重点行业的规模化标识解析服务能力。依托大中型企业，建设企业节点及应用系统。</w:t>
      </w:r>
      <w:r>
        <w:rPr>
          <w:rFonts w:hint="eastAsia" w:ascii="黑体" w:hAnsi="黑体" w:eastAsia="黑体" w:cs="黑体"/>
          <w:color w:val="000000"/>
          <w:sz w:val="32"/>
          <w:szCs w:val="32"/>
        </w:rPr>
        <w:t>（株洲市通信发展管理办公室、市工信局牵头，中国电信株洲分公司、中国移动株洲分公司、中国联通株洲分公司、中国铁塔株洲分公司、国投智城公司等按职责分工负责）</w:t>
      </w:r>
    </w:p>
    <w:p>
      <w:pPr>
        <w:spacing w:line="580" w:lineRule="exact"/>
        <w:ind w:firstLine="643" w:firstLineChars="200"/>
        <w:rPr>
          <w:rFonts w:ascii="Times New Roman" w:hAnsi="Times New Roman" w:eastAsia="仿宋" w:cs="Times New Roman"/>
          <w:bCs/>
          <w:sz w:val="32"/>
          <w:szCs w:val="32"/>
        </w:rPr>
      </w:pPr>
      <w:r>
        <w:rPr>
          <w:rFonts w:ascii="Times New Roman" w:hAnsi="Times New Roman" w:eastAsia="楷体" w:cs="Times New Roman"/>
          <w:b/>
          <w:bCs/>
          <w:sz w:val="32"/>
          <w:szCs w:val="32"/>
        </w:rPr>
        <w:t>2.实施先进算力提升行动。</w:t>
      </w:r>
      <w:r>
        <w:rPr>
          <w:rFonts w:ascii="Times New Roman" w:hAnsi="Times New Roman" w:eastAsia="仿宋" w:cs="Times New Roman"/>
          <w:bCs/>
          <w:sz w:val="32"/>
          <w:szCs w:val="32"/>
        </w:rPr>
        <w:t>抓好以数据中心、先进算力为代表的新基建支撑，加快构建完善的数据与算力支撑体系。</w:t>
      </w:r>
      <w:r>
        <w:rPr>
          <w:rFonts w:ascii="Times New Roman" w:hAnsi="Times New Roman" w:eastAsia="仿宋" w:cs="Times New Roman"/>
          <w:b/>
          <w:bCs/>
          <w:sz w:val="32"/>
          <w:szCs w:val="32"/>
        </w:rPr>
        <w:t>推进算力基础设施建设。</w:t>
      </w:r>
      <w:r>
        <w:rPr>
          <w:rFonts w:ascii="Times New Roman" w:hAnsi="Times New Roman" w:eastAsia="仿宋" w:cs="Times New Roman"/>
          <w:bCs/>
          <w:sz w:val="32"/>
          <w:szCs w:val="32"/>
        </w:rPr>
        <w:t>持续推动润泽超算中心、湖南数据湖产业园数据中心、中国移动（湖南株洲）数据中心等重点发展的新型大数据中心加快建设，打造一批国省级数据中心和全市一体化大数据存储云平台。建设面向特定场景的边缘计算设施，推动边缘计算与云计算协同部署。</w:t>
      </w:r>
      <w:r>
        <w:rPr>
          <w:rFonts w:ascii="Times New Roman" w:hAnsi="Times New Roman" w:eastAsia="仿宋" w:cs="Times New Roman"/>
          <w:b/>
          <w:bCs/>
          <w:sz w:val="32"/>
          <w:szCs w:val="32"/>
        </w:rPr>
        <w:t>优化算力结构布局。</w:t>
      </w:r>
      <w:r>
        <w:rPr>
          <w:rFonts w:ascii="Times New Roman" w:hAnsi="Times New Roman" w:eastAsia="仿宋" w:cs="Times New Roman"/>
          <w:bCs/>
          <w:sz w:val="32"/>
          <w:szCs w:val="32"/>
        </w:rPr>
        <w:t>加快提高现有数据中心利用率，统筹数据中心、智能计算中心布局，支持数据中心由存储型向计算型转变，重点推进工业互联网“数据入湖”工作</w:t>
      </w:r>
      <w:r>
        <w:rPr>
          <w:rFonts w:ascii="Times New Roman" w:hAnsi="Times New Roman" w:eastAsia="仿宋_GB2312" w:cs="Times New Roman"/>
          <w:bCs/>
          <w:snapToGrid w:val="0"/>
          <w:sz w:val="34"/>
          <w:szCs w:val="34"/>
        </w:rPr>
        <w:t>。</w:t>
      </w:r>
      <w:r>
        <w:rPr>
          <w:rFonts w:ascii="Times New Roman" w:hAnsi="Times New Roman" w:eastAsia="仿宋" w:cs="Times New Roman"/>
          <w:b/>
          <w:bCs/>
          <w:sz w:val="32"/>
          <w:szCs w:val="32"/>
        </w:rPr>
        <w:t>拓展先进算力应用。</w:t>
      </w:r>
      <w:r>
        <w:rPr>
          <w:rFonts w:ascii="Times New Roman" w:hAnsi="Times New Roman" w:eastAsia="仿宋" w:cs="Times New Roman"/>
          <w:bCs/>
          <w:sz w:val="32"/>
          <w:szCs w:val="32"/>
        </w:rPr>
        <w:t>推动行业龙头企业实现算力资源共享，支持规模工业企业综合运用边缘计算、云计算等技术，提升生产各环节网络化水平。到2025年，全市大数据中心标准机架总数达</w:t>
      </w:r>
      <w:r>
        <w:rPr>
          <w:rFonts w:hint="eastAsia" w:ascii="Times New Roman" w:hAnsi="Times New Roman" w:eastAsia="仿宋" w:cs="Times New Roman"/>
          <w:bCs/>
          <w:sz w:val="32"/>
          <w:szCs w:val="32"/>
        </w:rPr>
        <w:t>1</w:t>
      </w:r>
      <w:r>
        <w:rPr>
          <w:rFonts w:ascii="Times New Roman" w:hAnsi="Times New Roman" w:eastAsia="仿宋" w:cs="Times New Roman"/>
          <w:bCs/>
          <w:sz w:val="32"/>
          <w:szCs w:val="32"/>
        </w:rPr>
        <w:t>万以上，总算力提升到80PFLOPS，能源效率争取优化至1.42左右。</w:t>
      </w:r>
      <w:r>
        <w:rPr>
          <w:rFonts w:hint="eastAsia" w:ascii="黑体" w:hAnsi="黑体" w:eastAsia="黑体" w:cs="黑体"/>
          <w:color w:val="000000"/>
          <w:sz w:val="32"/>
          <w:szCs w:val="32"/>
        </w:rPr>
        <w:t>（市工信局牵头，市发改委、株洲市通信发展管理办公室、株洲经开区、中国电信株洲分公司、中国移动株洲分公司、中国联通株洲分公司等按职责分工负责）</w:t>
      </w:r>
    </w:p>
    <w:p>
      <w:pPr>
        <w:spacing w:line="580" w:lineRule="exact"/>
        <w:ind w:firstLine="643" w:firstLineChars="200"/>
        <w:rPr>
          <w:rFonts w:ascii="Times New Roman" w:hAnsi="Times New Roman" w:eastAsia="仿宋" w:cs="Times New Roman"/>
          <w:sz w:val="32"/>
          <w:szCs w:val="32"/>
        </w:rPr>
      </w:pPr>
      <w:r>
        <w:rPr>
          <w:rFonts w:ascii="Times New Roman" w:hAnsi="Times New Roman" w:eastAsia="楷体" w:cs="Times New Roman"/>
          <w:b/>
          <w:bCs/>
          <w:sz w:val="32"/>
          <w:szCs w:val="32"/>
        </w:rPr>
        <w:t>3.实施</w:t>
      </w:r>
      <w:r>
        <w:rPr>
          <w:rFonts w:hint="eastAsia" w:ascii="Times New Roman" w:hAnsi="Times New Roman" w:eastAsia="楷体" w:cs="Times New Roman"/>
          <w:b/>
          <w:bCs/>
          <w:sz w:val="32"/>
          <w:szCs w:val="32"/>
        </w:rPr>
        <w:t>关键</w:t>
      </w:r>
      <w:r>
        <w:rPr>
          <w:rFonts w:ascii="Times New Roman" w:hAnsi="Times New Roman" w:eastAsia="楷体" w:cs="Times New Roman"/>
          <w:b/>
          <w:bCs/>
          <w:sz w:val="32"/>
          <w:szCs w:val="32"/>
        </w:rPr>
        <w:t>技术</w:t>
      </w:r>
      <w:r>
        <w:rPr>
          <w:rFonts w:hint="eastAsia" w:ascii="Times New Roman" w:hAnsi="Times New Roman" w:eastAsia="楷体" w:cs="Times New Roman"/>
          <w:b/>
          <w:bCs/>
          <w:sz w:val="32"/>
          <w:szCs w:val="32"/>
        </w:rPr>
        <w:t>攻关</w:t>
      </w:r>
      <w:r>
        <w:rPr>
          <w:rFonts w:ascii="Times New Roman" w:hAnsi="Times New Roman" w:eastAsia="楷体" w:cs="Times New Roman"/>
          <w:b/>
          <w:bCs/>
          <w:sz w:val="32"/>
          <w:szCs w:val="32"/>
        </w:rPr>
        <w:t>行动。</w:t>
      </w:r>
      <w:r>
        <w:rPr>
          <w:rFonts w:ascii="Times New Roman" w:hAnsi="Times New Roman" w:eastAsia="仿宋" w:cs="Times New Roman"/>
          <w:sz w:val="32"/>
          <w:szCs w:val="32"/>
        </w:rPr>
        <w:t>围绕关键</w:t>
      </w:r>
      <w:r>
        <w:rPr>
          <w:rFonts w:hint="eastAsia" w:ascii="Times New Roman" w:hAnsi="Times New Roman" w:eastAsia="仿宋" w:cs="Times New Roman"/>
          <w:sz w:val="32"/>
          <w:szCs w:val="32"/>
        </w:rPr>
        <w:t>材料部件</w:t>
      </w:r>
      <w:r>
        <w:rPr>
          <w:rFonts w:ascii="Times New Roman" w:hAnsi="Times New Roman" w:eastAsia="仿宋" w:cs="Times New Roman"/>
          <w:sz w:val="32"/>
          <w:szCs w:val="32"/>
        </w:rPr>
        <w:t>、关键软件、智能制造装备等重点领域，支持行业龙头企业联合高校、科研院所、平台企业、数字技术服务企业和上下游企业建设一批制造业创新载体，突破一批关键核心技术和“卡脖子”技术。</w:t>
      </w:r>
      <w:r>
        <w:rPr>
          <w:rFonts w:ascii="Times New Roman" w:hAnsi="Times New Roman" w:eastAsia="仿宋" w:cs="Times New Roman"/>
          <w:b/>
          <w:bCs/>
          <w:sz w:val="32"/>
          <w:szCs w:val="32"/>
        </w:rPr>
        <w:t>关键</w:t>
      </w:r>
      <w:r>
        <w:rPr>
          <w:rFonts w:hint="eastAsia" w:ascii="Times New Roman" w:hAnsi="Times New Roman" w:eastAsia="仿宋" w:cs="Times New Roman"/>
          <w:b/>
          <w:bCs/>
          <w:sz w:val="32"/>
          <w:szCs w:val="32"/>
        </w:rPr>
        <w:t>材料部件</w:t>
      </w:r>
      <w:r>
        <w:rPr>
          <w:rFonts w:ascii="Times New Roman" w:hAnsi="Times New Roman" w:eastAsia="仿宋" w:cs="Times New Roman"/>
          <w:b/>
          <w:bCs/>
          <w:sz w:val="32"/>
          <w:szCs w:val="32"/>
        </w:rPr>
        <w:t>方面。</w:t>
      </w:r>
      <w:r>
        <w:rPr>
          <w:rFonts w:ascii="Times New Roman" w:hAnsi="Times New Roman" w:eastAsia="仿宋" w:cs="Times New Roman"/>
          <w:sz w:val="32"/>
          <w:szCs w:val="32"/>
        </w:rPr>
        <w:t>加大</w:t>
      </w:r>
      <w:r>
        <w:rPr>
          <w:rFonts w:hint="eastAsia" w:ascii="Times New Roman" w:hAnsi="Times New Roman" w:eastAsia="仿宋" w:cs="Times New Roman"/>
          <w:sz w:val="32"/>
          <w:szCs w:val="32"/>
        </w:rPr>
        <w:t>新一代半导体、</w:t>
      </w:r>
      <w:r>
        <w:rPr>
          <w:rFonts w:ascii="Times New Roman" w:hAnsi="Times New Roman" w:eastAsia="仿宋" w:cs="Times New Roman"/>
          <w:sz w:val="32"/>
          <w:szCs w:val="32"/>
        </w:rPr>
        <w:t>先进高分子材料、IGZO靶材、国产计算机多路服务器</w:t>
      </w:r>
      <w:r>
        <w:rPr>
          <w:rFonts w:hint="eastAsia" w:ascii="Times New Roman" w:hAnsi="Times New Roman" w:eastAsia="仿宋" w:cs="Times New Roman"/>
          <w:sz w:val="32"/>
          <w:szCs w:val="32"/>
        </w:rPr>
        <w:t>、智能传感器</w:t>
      </w:r>
      <w:r>
        <w:rPr>
          <w:rFonts w:ascii="Times New Roman" w:hAnsi="Times New Roman" w:eastAsia="仿宋" w:cs="Times New Roman"/>
          <w:sz w:val="32"/>
          <w:szCs w:val="32"/>
        </w:rPr>
        <w:t>等关键基础材料、核心电子元器件和零部件技术攻关力度</w:t>
      </w:r>
      <w:r>
        <w:rPr>
          <w:rFonts w:hint="eastAsia" w:ascii="Times New Roman" w:hAnsi="Times New Roman" w:eastAsia="仿宋" w:cs="Times New Roman"/>
          <w:sz w:val="32"/>
          <w:szCs w:val="32"/>
        </w:rPr>
        <w:t>。重点</w:t>
      </w:r>
      <w:r>
        <w:rPr>
          <w:rFonts w:ascii="Times New Roman" w:hAnsi="Times New Roman" w:eastAsia="仿宋" w:cs="Times New Roman"/>
          <w:sz w:val="32"/>
          <w:szCs w:val="32"/>
        </w:rPr>
        <w:t>支持轨道交通制造业创新中心、中车株洲所</w:t>
      </w:r>
      <w:r>
        <w:rPr>
          <w:rFonts w:hint="eastAsia" w:ascii="Times New Roman" w:hAnsi="Times New Roman" w:eastAsia="仿宋" w:cs="Times New Roman"/>
          <w:sz w:val="32"/>
          <w:szCs w:val="32"/>
        </w:rPr>
        <w:t>、中车电机</w:t>
      </w:r>
      <w:r>
        <w:rPr>
          <w:rFonts w:ascii="Times New Roman" w:hAnsi="Times New Roman" w:eastAsia="仿宋" w:cs="Times New Roman"/>
          <w:sz w:val="32"/>
          <w:szCs w:val="32"/>
        </w:rPr>
        <w:t>等创新主体建设。</w:t>
      </w:r>
      <w:r>
        <w:rPr>
          <w:rFonts w:ascii="Times New Roman" w:hAnsi="Times New Roman" w:eastAsia="仿宋" w:cs="Times New Roman"/>
          <w:b/>
          <w:bCs/>
          <w:sz w:val="32"/>
          <w:szCs w:val="32"/>
        </w:rPr>
        <w:t>关键软件方面。</w:t>
      </w:r>
      <w:r>
        <w:rPr>
          <w:rFonts w:ascii="Times New Roman" w:hAnsi="Times New Roman" w:eastAsia="仿宋" w:cs="Times New Roman"/>
          <w:sz w:val="32"/>
          <w:szCs w:val="32"/>
        </w:rPr>
        <w:t>认真落实《湖南省软件产业振兴计划（2021—2025年）》，支持中车株机、中车株</w:t>
      </w:r>
      <w:r>
        <w:rPr>
          <w:rFonts w:hint="eastAsia" w:ascii="Times New Roman" w:hAnsi="Times New Roman" w:eastAsia="仿宋" w:cs="Times New Roman"/>
          <w:sz w:val="32"/>
          <w:szCs w:val="32"/>
        </w:rPr>
        <w:t>洲</w:t>
      </w:r>
      <w:r>
        <w:rPr>
          <w:rFonts w:ascii="Times New Roman" w:hAnsi="Times New Roman" w:eastAsia="仿宋" w:cs="Times New Roman"/>
          <w:sz w:val="32"/>
          <w:szCs w:val="32"/>
        </w:rPr>
        <w:t>所、株齿等企业技术外溢，联合</w:t>
      </w:r>
      <w:r>
        <w:rPr>
          <w:rFonts w:hint="eastAsia" w:ascii="Times New Roman" w:hAnsi="Times New Roman" w:eastAsia="仿宋" w:cs="Times New Roman"/>
          <w:sz w:val="32"/>
          <w:szCs w:val="32"/>
        </w:rPr>
        <w:t>时代软件、</w:t>
      </w:r>
      <w:r>
        <w:rPr>
          <w:rFonts w:ascii="Times New Roman" w:hAnsi="Times New Roman" w:eastAsia="仿宋" w:cs="Times New Roman"/>
          <w:sz w:val="32"/>
          <w:szCs w:val="32"/>
        </w:rPr>
        <w:t>精益传动等具有核心技术的</w:t>
      </w:r>
      <w:r>
        <w:rPr>
          <w:rFonts w:hint="eastAsia" w:ascii="Times New Roman" w:hAnsi="Times New Roman" w:eastAsia="仿宋" w:cs="Times New Roman"/>
          <w:sz w:val="32"/>
          <w:szCs w:val="32"/>
        </w:rPr>
        <w:t>软件</w:t>
      </w:r>
      <w:r>
        <w:rPr>
          <w:rFonts w:ascii="Times New Roman" w:hAnsi="Times New Roman" w:eastAsia="仿宋" w:cs="Times New Roman"/>
          <w:sz w:val="32"/>
          <w:szCs w:val="32"/>
        </w:rPr>
        <w:t>企业以及湖南工业大学等实力院校，开发一批面向特定工业场景和特定行业的自主可控工业软件。</w:t>
      </w:r>
      <w:r>
        <w:rPr>
          <w:rFonts w:ascii="Times New Roman" w:hAnsi="Times New Roman" w:eastAsia="仿宋" w:cs="Times New Roman"/>
          <w:b/>
          <w:bCs/>
          <w:sz w:val="32"/>
          <w:szCs w:val="32"/>
        </w:rPr>
        <w:t>智能制造装备方面。</w:t>
      </w:r>
      <w:r>
        <w:rPr>
          <w:rFonts w:ascii="Times New Roman" w:hAnsi="Times New Roman" w:eastAsia="仿宋" w:cs="Times New Roman"/>
          <w:sz w:val="32"/>
          <w:szCs w:val="32"/>
        </w:rPr>
        <w:t>鼓励装备制造企业与用户企业</w:t>
      </w:r>
      <w:r>
        <w:rPr>
          <w:rFonts w:hint="eastAsia" w:ascii="Times New Roman" w:hAnsi="Times New Roman" w:eastAsia="仿宋" w:cs="Times New Roman"/>
          <w:sz w:val="32"/>
          <w:szCs w:val="32"/>
        </w:rPr>
        <w:t>和本地重点院校</w:t>
      </w:r>
      <w:r>
        <w:rPr>
          <w:rFonts w:ascii="Times New Roman" w:hAnsi="Times New Roman" w:eastAsia="仿宋" w:cs="Times New Roman"/>
          <w:sz w:val="32"/>
          <w:szCs w:val="32"/>
        </w:rPr>
        <w:t>联合研制智能成套装备（生产线），支持装备制造、电子等行业企业开展基于数字孪生、人工智能、区块链等技术的产品模型构建与数据分析，打造设备预测性维护等服务化延伸新模式。</w:t>
      </w:r>
      <w:r>
        <w:rPr>
          <w:rFonts w:hint="eastAsia" w:ascii="黑体" w:hAnsi="黑体" w:eastAsia="黑体" w:cs="黑体"/>
          <w:color w:val="000000"/>
          <w:sz w:val="32"/>
          <w:szCs w:val="32"/>
        </w:rPr>
        <w:t>（市科技局牵头，市发改委、市教育局、市工信局等按职责分工负责）</w:t>
      </w:r>
    </w:p>
    <w:p>
      <w:pPr>
        <w:spacing w:line="580" w:lineRule="exact"/>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（二）强化供给能力，健全</w:t>
      </w:r>
      <w:r>
        <w:rPr>
          <w:rFonts w:hint="eastAsia" w:ascii="Times New Roman" w:hAnsi="Times New Roman" w:eastAsia="楷体" w:cs="Times New Roman"/>
          <w:b/>
          <w:bCs/>
          <w:sz w:val="32"/>
          <w:szCs w:val="32"/>
        </w:rPr>
        <w:t>“智赋千企”</w:t>
      </w:r>
      <w:r>
        <w:rPr>
          <w:rFonts w:ascii="Times New Roman" w:hAnsi="Times New Roman" w:eastAsia="楷体" w:cs="Times New Roman"/>
          <w:b/>
          <w:bCs/>
          <w:sz w:val="32"/>
          <w:szCs w:val="32"/>
        </w:rPr>
        <w:t>服务生态体系</w:t>
      </w:r>
    </w:p>
    <w:p>
      <w:pPr>
        <w:spacing w:line="580" w:lineRule="exact"/>
        <w:ind w:firstLine="643" w:firstLineChars="200"/>
        <w:rPr>
          <w:rFonts w:ascii="Times New Roman" w:hAnsi="Times New Roman" w:eastAsia="仿宋" w:cs="Times New Roman"/>
          <w:bCs/>
          <w:sz w:val="32"/>
          <w:szCs w:val="32"/>
        </w:rPr>
      </w:pPr>
      <w:r>
        <w:rPr>
          <w:rFonts w:ascii="Times New Roman" w:hAnsi="Times New Roman" w:eastAsia="楷体" w:cs="Times New Roman"/>
          <w:b/>
          <w:bCs/>
          <w:sz w:val="32"/>
          <w:szCs w:val="32"/>
        </w:rPr>
        <w:t>4.实施工业互联网培育行动。</w:t>
      </w:r>
      <w:r>
        <w:rPr>
          <w:rFonts w:ascii="Times New Roman" w:hAnsi="Times New Roman" w:eastAsia="仿宋" w:cs="Times New Roman"/>
          <w:bCs/>
          <w:sz w:val="32"/>
          <w:szCs w:val="32"/>
        </w:rPr>
        <w:t>加快构建“企业级—行业级—区域级”梯次分布的工业互联网平台体系。</w:t>
      </w:r>
      <w:r>
        <w:rPr>
          <w:rFonts w:ascii="Times New Roman" w:hAnsi="Times New Roman" w:eastAsia="仿宋" w:cs="Times New Roman"/>
          <w:b/>
          <w:snapToGrid w:val="0"/>
          <w:sz w:val="32"/>
          <w:szCs w:val="32"/>
        </w:rPr>
        <w:t>建设一批企业级工业互联网平台。</w:t>
      </w:r>
      <w:r>
        <w:rPr>
          <w:rFonts w:ascii="Times New Roman" w:hAnsi="Times New Roman" w:eastAsia="仿宋" w:cs="Times New Roman"/>
          <w:sz w:val="32"/>
          <w:szCs w:val="32"/>
        </w:rPr>
        <w:t>支持行业龙头企业围绕特定工业场景和产业链供应链等重要环节，构建数据驱动、软件定义、平台支撑、服务增值、智能主导的新型制造体系，充分发挥烧结云、风电云等省级工业互联网平台标杆示范作用，建设一批面向特定技术领域的企业级工业互联网平台。</w:t>
      </w:r>
      <w:r>
        <w:rPr>
          <w:rFonts w:ascii="Times New Roman" w:hAnsi="Times New Roman" w:eastAsia="仿宋" w:cs="Times New Roman"/>
          <w:b/>
          <w:snapToGrid w:val="0"/>
          <w:sz w:val="32"/>
          <w:szCs w:val="32"/>
        </w:rPr>
        <w:t>打造一批行业级工业互联网平台。</w:t>
      </w:r>
      <w:r>
        <w:rPr>
          <w:rFonts w:ascii="Times New Roman" w:hAnsi="Times New Roman" w:eastAsia="仿宋" w:cs="Times New Roman"/>
          <w:sz w:val="32"/>
          <w:szCs w:val="32"/>
        </w:rPr>
        <w:t>积极对接工信部“工业互联网+平台”赋能深度行活动，重点面向株洲市轨道交通装备、中小航空发动机等国家先进制造业集群，先进硬质材料、先进陶瓷等特色产业集群，以“链主牵头、全链参与”方式培育一批行业特色型工业互联网平台，加快建设推广株齿云、智轨运维云、思伯陶瓷云等国省级行业工业互联网平台，有效支撑重点产业集群数字化转型。</w:t>
      </w:r>
      <w:r>
        <w:rPr>
          <w:rFonts w:ascii="Times New Roman" w:hAnsi="Times New Roman" w:eastAsia="仿宋" w:cs="Times New Roman"/>
          <w:b/>
          <w:snapToGrid w:val="0"/>
          <w:sz w:val="32"/>
          <w:szCs w:val="32"/>
        </w:rPr>
        <w:t>引培一批双跨工业互联网平台。</w:t>
      </w:r>
      <w:r>
        <w:rPr>
          <w:rFonts w:ascii="Times New Roman" w:hAnsi="Times New Roman" w:eastAsia="仿宋" w:cs="Times New Roman"/>
          <w:sz w:val="32"/>
          <w:szCs w:val="32"/>
        </w:rPr>
        <w:t>积极引进或依托国家跨行业跨领域工业互联网平台龙头企业，深化工业要素资源集聚，为企业设备接入、知识沉淀、应用开发提供第三方专业化基础支撑服务。加快推动中国联通工业互联网研究院落户株洲。积极拓展天元工业互联网公共服务平台等跨行业跨领域平台的推广应用，构建以多行业多领域中小企业为核心的工业互联网平台应用生态体系，加速中小企业数字化转型升级。</w:t>
      </w:r>
      <w:r>
        <w:rPr>
          <w:rFonts w:ascii="Times New Roman" w:hAnsi="Times New Roman" w:eastAsia="仿宋" w:cs="Times New Roman"/>
          <w:bCs/>
          <w:sz w:val="32"/>
          <w:szCs w:val="32"/>
        </w:rPr>
        <w:t>到2025年，创建20家左右省级工业互联网平台，力争培育1家国家级“双跨”工业互联网平台。</w:t>
      </w:r>
      <w:r>
        <w:rPr>
          <w:rFonts w:hint="eastAsia" w:ascii="黑体" w:hAnsi="黑体" w:eastAsia="黑体" w:cs="黑体"/>
          <w:color w:val="000000"/>
          <w:sz w:val="32"/>
          <w:szCs w:val="32"/>
        </w:rPr>
        <w:t>（市工信局牵头，市发改委、市商务局、各县市区、相关园区、中国联通株洲分公司等按职责分工负责）</w:t>
      </w:r>
    </w:p>
    <w:p>
      <w:pPr>
        <w:spacing w:line="580" w:lineRule="exact"/>
        <w:ind w:firstLine="643" w:firstLineChars="200"/>
        <w:rPr>
          <w:rFonts w:ascii="Times New Roman" w:hAnsi="Times New Roman" w:eastAsia="仿宋" w:cs="Times New Roman"/>
          <w:sz w:val="32"/>
          <w:szCs w:val="32"/>
        </w:rPr>
      </w:pPr>
      <w:r>
        <w:rPr>
          <w:rFonts w:ascii="Times New Roman" w:hAnsi="Times New Roman" w:eastAsia="楷体" w:cs="Times New Roman"/>
          <w:b/>
          <w:bCs/>
          <w:sz w:val="32"/>
          <w:szCs w:val="32"/>
        </w:rPr>
        <w:t>5.实施服务体系</w:t>
      </w:r>
      <w:r>
        <w:rPr>
          <w:rFonts w:hint="eastAsia" w:ascii="Times New Roman" w:hAnsi="Times New Roman" w:eastAsia="楷体" w:cs="Times New Roman"/>
          <w:b/>
          <w:bCs/>
          <w:sz w:val="32"/>
          <w:szCs w:val="32"/>
        </w:rPr>
        <w:t>支撑</w:t>
      </w:r>
      <w:r>
        <w:rPr>
          <w:rFonts w:ascii="Times New Roman" w:hAnsi="Times New Roman" w:eastAsia="楷体" w:cs="Times New Roman"/>
          <w:b/>
          <w:bCs/>
          <w:sz w:val="32"/>
          <w:szCs w:val="32"/>
        </w:rPr>
        <w:t>行动。</w:t>
      </w:r>
      <w:r>
        <w:rPr>
          <w:rFonts w:ascii="Times New Roman" w:hAnsi="Times New Roman" w:eastAsia="仿宋" w:cs="Times New Roman"/>
          <w:sz w:val="32"/>
          <w:szCs w:val="32"/>
        </w:rPr>
        <w:t>以株洲国家智能制造先行区创建方案为行动指南，依托智能制造专家人才库</w:t>
      </w:r>
      <w:r>
        <w:rPr>
          <w:rFonts w:hint="eastAsia" w:ascii="Times New Roman" w:hAnsi="Times New Roman" w:eastAsia="仿宋" w:cs="Times New Roman"/>
          <w:sz w:val="32"/>
          <w:szCs w:val="32"/>
        </w:rPr>
        <w:t>和国内</w:t>
      </w:r>
      <w:r>
        <w:rPr>
          <w:rFonts w:ascii="Times New Roman" w:hAnsi="Times New Roman" w:eastAsia="仿宋" w:cs="Times New Roman"/>
          <w:sz w:val="32"/>
          <w:szCs w:val="32"/>
        </w:rPr>
        <w:t>重点高校，每年定期发布株洲市智能制造发展蓝皮书，加快建设一批重点高校博士工作站和智能制造公共服务平台，</w:t>
      </w:r>
      <w:r>
        <w:rPr>
          <w:rFonts w:hint="eastAsia" w:ascii="Times New Roman" w:hAnsi="Times New Roman" w:eastAsia="仿宋" w:cs="Times New Roman"/>
          <w:sz w:val="32"/>
          <w:szCs w:val="32"/>
        </w:rPr>
        <w:t>加快</w:t>
      </w:r>
      <w:r>
        <w:rPr>
          <w:rFonts w:ascii="Times New Roman" w:hAnsi="Times New Roman" w:eastAsia="仿宋" w:cs="Times New Roman"/>
          <w:sz w:val="32"/>
          <w:szCs w:val="32"/>
        </w:rPr>
        <w:t>形成“一案一库一书一站一平台”的数字化公共服务生态</w:t>
      </w:r>
      <w:r>
        <w:rPr>
          <w:rFonts w:hint="eastAsia" w:ascii="Times New Roman" w:hAnsi="Times New Roman" w:eastAsia="仿宋" w:cs="Times New Roman"/>
          <w:sz w:val="32"/>
          <w:szCs w:val="32"/>
        </w:rPr>
        <w:t>，建立</w:t>
      </w:r>
      <w:r>
        <w:rPr>
          <w:rFonts w:ascii="Times New Roman" w:hAnsi="Times New Roman" w:eastAsia="仿宋" w:cs="Times New Roman"/>
          <w:sz w:val="32"/>
          <w:szCs w:val="32"/>
        </w:rPr>
        <w:t>“一平台、多站点、优服务”</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数字化转型专业服务能力供给</w:t>
      </w:r>
      <w:r>
        <w:rPr>
          <w:rFonts w:hint="eastAsia" w:ascii="Times New Roman" w:hAnsi="Times New Roman" w:eastAsia="仿宋" w:cs="Times New Roman"/>
          <w:sz w:val="32"/>
          <w:szCs w:val="32"/>
        </w:rPr>
        <w:t>模式</w:t>
      </w:r>
      <w:r>
        <w:rPr>
          <w:rFonts w:ascii="Times New Roman" w:hAnsi="Times New Roman" w:eastAsia="仿宋" w:cs="Times New Roman"/>
          <w:sz w:val="32"/>
          <w:szCs w:val="32"/>
        </w:rPr>
        <w:t>。</w:t>
      </w:r>
      <w:r>
        <w:rPr>
          <w:rFonts w:ascii="Times New Roman" w:hAnsi="Times New Roman" w:eastAsia="仿宋" w:cs="Times New Roman"/>
          <w:b/>
          <w:sz w:val="32"/>
          <w:szCs w:val="32"/>
        </w:rPr>
        <w:t>搭建公共服务平台。</w:t>
      </w:r>
      <w:r>
        <w:rPr>
          <w:rFonts w:ascii="Times New Roman" w:hAnsi="Times New Roman" w:eastAsia="仿宋" w:cs="Times New Roman"/>
          <w:sz w:val="32"/>
          <w:szCs w:val="32"/>
        </w:rPr>
        <w:t>积极引进或依托龙头企业、重点高校、科研院所联合组建数字化转型公共服务平台和株洲市智能制造协会，提供政策宣贯、业务培训、诊断评估等公共服务，高规格建设具有株洲特色亮点的数字化展览展示馆。发挥公共服务平台的桥梁纽带作用，建立精准化供需对接机制，为有数字化需求的企业精准对接和匹配服务资源。</w:t>
      </w:r>
      <w:r>
        <w:rPr>
          <w:rFonts w:ascii="Times New Roman" w:hAnsi="Times New Roman" w:eastAsia="仿宋" w:cs="Times New Roman"/>
          <w:b/>
          <w:sz w:val="32"/>
          <w:szCs w:val="32"/>
        </w:rPr>
        <w:t>做大做强服务主体。</w:t>
      </w:r>
      <w:r>
        <w:rPr>
          <w:rFonts w:ascii="Times New Roman" w:hAnsi="Times New Roman" w:eastAsia="仿宋" w:cs="Times New Roman"/>
          <w:sz w:val="32"/>
          <w:szCs w:val="32"/>
        </w:rPr>
        <w:t>着力引进培育一批行业知名度高、业务成熟度优的国省级数字化转型服务商，收集攻克行业转型技术难点痛点，制定服务能力评分标准，评选一批优秀数字化转型服务商。支持数字化转型服务商与用户联合开发面向典型场景和细分行业的解决方案。鼓励国内优秀解决方案供应商面向全市竞相开展数字化诊断咨询服务。</w:t>
      </w:r>
      <w:r>
        <w:rPr>
          <w:rFonts w:ascii="Times New Roman" w:hAnsi="Times New Roman" w:eastAsia="仿宋" w:cs="Times New Roman"/>
          <w:b/>
          <w:sz w:val="32"/>
          <w:szCs w:val="32"/>
        </w:rPr>
        <w:t>提升优化服务方式。</w:t>
      </w:r>
      <w:r>
        <w:rPr>
          <w:rFonts w:ascii="Times New Roman" w:hAnsi="Times New Roman" w:eastAsia="仿宋" w:cs="Times New Roman"/>
          <w:sz w:val="32"/>
          <w:szCs w:val="32"/>
        </w:rPr>
        <w:t>充分发挥智能制造专家委员会智库和智能制造标杆示范作用，定期举办智能制造专家诊断行、标杆游学行等品牌活动。高水平举办全国工业APP和信息消费大赛、轨博会、航博会、陶博会等展会活动，搭建高端国际合作交流平台，推动产业资源导入、科技成果转化、前沿研究落地，推动企业数字化转型要素流通、设施融通和人才互通。</w:t>
      </w:r>
      <w:r>
        <w:rPr>
          <w:rFonts w:hint="eastAsia" w:ascii="黑体" w:hAnsi="黑体" w:eastAsia="黑体" w:cs="黑体"/>
          <w:color w:val="000000"/>
          <w:sz w:val="32"/>
          <w:szCs w:val="32"/>
        </w:rPr>
        <w:t>（市工信局牵头，市科技局、市商务局、市贸促会、各县市区等按职责分工负责）</w:t>
      </w:r>
    </w:p>
    <w:p>
      <w:pPr>
        <w:spacing w:line="580" w:lineRule="exact"/>
        <w:ind w:firstLine="643" w:firstLineChars="200"/>
        <w:rPr>
          <w:rFonts w:ascii="Times New Roman" w:hAnsi="Times New Roman" w:eastAsia="仿宋" w:cs="Times New Roman"/>
          <w:sz w:val="32"/>
          <w:szCs w:val="32"/>
        </w:rPr>
      </w:pPr>
      <w:r>
        <w:rPr>
          <w:rFonts w:ascii="Times New Roman" w:hAnsi="Times New Roman" w:eastAsia="楷体" w:cs="Times New Roman"/>
          <w:b/>
          <w:bCs/>
          <w:sz w:val="32"/>
          <w:szCs w:val="32"/>
        </w:rPr>
        <w:t>6.实施要素保障强化行动。</w:t>
      </w:r>
      <w:r>
        <w:rPr>
          <w:rFonts w:ascii="Times New Roman" w:hAnsi="Times New Roman" w:eastAsia="仿宋" w:cs="Times New Roman"/>
          <w:sz w:val="32"/>
          <w:szCs w:val="32"/>
        </w:rPr>
        <w:t>加大在政策、人才、金融等方面的支持力度，营造良好的发展环境。</w:t>
      </w:r>
      <w:r>
        <w:rPr>
          <w:rFonts w:ascii="Times New Roman" w:hAnsi="Times New Roman" w:eastAsia="楷体" w:cs="Times New Roman"/>
          <w:b/>
          <w:bCs/>
          <w:sz w:val="32"/>
          <w:szCs w:val="32"/>
        </w:rPr>
        <w:t>强化政策支持。</w:t>
      </w:r>
      <w:r>
        <w:rPr>
          <w:rFonts w:ascii="Times New Roman" w:hAnsi="Times New Roman" w:eastAsia="仿宋" w:cs="Times New Roman"/>
          <w:sz w:val="32"/>
          <w:szCs w:val="32"/>
        </w:rPr>
        <w:t>市财政每年统筹安排一定资金用于支持“智赋千企”专项行动，重点支持新一代信息技术基础设施项目建设、两化融合贯标和数字化转型标杆企业培育、数字化转型优秀服务商评选等。鼓励有条件的县市区给予财政配套支持，降低中小企业数字化转型门槛。</w:t>
      </w:r>
      <w:r>
        <w:rPr>
          <w:rFonts w:ascii="Times New Roman" w:hAnsi="Times New Roman" w:eastAsia="楷体" w:cs="Times New Roman"/>
          <w:b/>
          <w:bCs/>
          <w:sz w:val="32"/>
          <w:szCs w:val="32"/>
        </w:rPr>
        <w:t>强化人才培养。</w:t>
      </w:r>
      <w:r>
        <w:rPr>
          <w:rFonts w:ascii="Times New Roman" w:hAnsi="Times New Roman" w:eastAsia="仿宋" w:cs="Times New Roman"/>
          <w:sz w:val="32"/>
          <w:szCs w:val="32"/>
        </w:rPr>
        <w:t>落实“新人才30条”，积极引进数字化领域高端人才、团队。引导职业院校开设新一代信息技术领域职业教育课程，鼓励院校与本地企业共建一批现代产业学院、联合实验室、实习基地等。引导企业注重加强高级技术人员管理思维培养。在职称评审、高层次人才认定等人才评价工作中给予重点支持。</w:t>
      </w:r>
      <w:r>
        <w:rPr>
          <w:rFonts w:ascii="Times New Roman" w:hAnsi="Times New Roman" w:eastAsia="楷体" w:cs="Times New Roman"/>
          <w:b/>
          <w:bCs/>
          <w:sz w:val="32"/>
          <w:szCs w:val="32"/>
        </w:rPr>
        <w:t>强化金融服务。</w:t>
      </w:r>
      <w:r>
        <w:rPr>
          <w:rFonts w:ascii="Times New Roman" w:hAnsi="Times New Roman" w:eastAsia="仿宋" w:cs="Times New Roman"/>
          <w:sz w:val="32"/>
          <w:szCs w:val="32"/>
        </w:rPr>
        <w:t>鼓励金融机构推出数字化转型专项贷，面向获评市级以上数字化项目的企业，探索设立绿色通道，持续加大对数字化企业和应用企业的支持力度。</w:t>
      </w:r>
      <w:r>
        <w:rPr>
          <w:rFonts w:hint="eastAsia" w:ascii="黑体" w:hAnsi="黑体" w:eastAsia="黑体" w:cs="黑体"/>
          <w:color w:val="000000"/>
          <w:sz w:val="32"/>
          <w:szCs w:val="32"/>
        </w:rPr>
        <w:t>（市财政局、市教育局、市人社局牵头，市发改委、市工信局、市政府金融办、株洲职教园办、各县市区等按职责分工负责）</w:t>
      </w:r>
    </w:p>
    <w:p>
      <w:pPr>
        <w:spacing w:line="580" w:lineRule="exact"/>
        <w:ind w:firstLine="643" w:firstLineChars="200"/>
        <w:rPr>
          <w:rFonts w:ascii="Times New Roman" w:hAnsi="Times New Roman" w:eastAsia="方正仿宋简体" w:cs="Times New Roman"/>
          <w:sz w:val="32"/>
          <w:szCs w:val="32"/>
        </w:rPr>
      </w:pPr>
      <w:r>
        <w:rPr>
          <w:rFonts w:ascii="Times New Roman" w:hAnsi="Times New Roman" w:eastAsia="楷体" w:cs="Times New Roman"/>
          <w:b/>
          <w:bCs/>
          <w:sz w:val="32"/>
          <w:szCs w:val="32"/>
        </w:rPr>
        <w:t>（三）强化应用能力，推动数实经济深度融合发展</w:t>
      </w:r>
    </w:p>
    <w:p>
      <w:pPr>
        <w:spacing w:line="580" w:lineRule="exact"/>
        <w:ind w:firstLine="643" w:firstLineChars="200"/>
        <w:rPr>
          <w:rFonts w:ascii="Times New Roman" w:hAnsi="Times New Roman" w:cs="Times New Roman"/>
        </w:rPr>
      </w:pPr>
      <w:r>
        <w:rPr>
          <w:rFonts w:ascii="Times New Roman" w:hAnsi="Times New Roman" w:eastAsia="楷体" w:cs="Times New Roman"/>
          <w:b/>
          <w:bCs/>
          <w:sz w:val="32"/>
          <w:szCs w:val="32"/>
        </w:rPr>
        <w:t>7.实施标杆</w:t>
      </w:r>
      <w:r>
        <w:rPr>
          <w:rFonts w:ascii="Times New Roman" w:hAnsi="Times New Roman" w:eastAsia="楷体" w:cs="Times New Roman"/>
          <w:b/>
          <w:bCs/>
          <w:color w:val="000000"/>
          <w:sz w:val="32"/>
          <w:szCs w:val="32"/>
        </w:rPr>
        <w:t>示范引领行动。</w:t>
      </w:r>
      <w:r>
        <w:rPr>
          <w:rFonts w:ascii="Times New Roman" w:hAnsi="Times New Roman" w:eastAsia="仿宋" w:cs="Times New Roman"/>
          <w:sz w:val="32"/>
          <w:szCs w:val="32"/>
        </w:rPr>
        <w:t>推动数字技术在农业、工业、金融等重点领域的深度融合，加快数字技术创新应用，打造一批典型场景和标杆示范项目企业。</w:t>
      </w:r>
      <w:r>
        <w:rPr>
          <w:rFonts w:ascii="Times New Roman" w:hAnsi="Times New Roman" w:eastAsia="仿宋" w:cs="Times New Roman"/>
          <w:b/>
          <w:bCs/>
          <w:sz w:val="32"/>
          <w:szCs w:val="32"/>
        </w:rPr>
        <w:t>总结典型应用场景。</w:t>
      </w:r>
      <w:r>
        <w:rPr>
          <w:rFonts w:ascii="Times New Roman" w:hAnsi="Times New Roman" w:eastAsia="仿宋" w:cs="Times New Roman"/>
          <w:bCs/>
          <w:sz w:val="32"/>
          <w:szCs w:val="32"/>
        </w:rPr>
        <w:t>面向信息化基础良好的企业，深化数字孪生、人工智能、5G、大数据、区块链等新技术在不同场景的融合应用，</w:t>
      </w:r>
      <w:r>
        <w:rPr>
          <w:rFonts w:ascii="Times New Roman" w:hAnsi="Times New Roman" w:eastAsia="仿宋_GB2312" w:cs="Times New Roman"/>
          <w:sz w:val="32"/>
          <w:szCs w:val="22"/>
        </w:rPr>
        <w:t>凝练总结一批具备较高技术水平和推广应用价值的典型优秀应用场景，创建一批国省级智能制造优秀场景、5G典型应用场景、制造业数字化转型典型应用场景等示范项目。</w:t>
      </w:r>
      <w:r>
        <w:rPr>
          <w:rFonts w:ascii="Times New Roman" w:hAnsi="Times New Roman" w:eastAsia="仿宋" w:cs="Times New Roman"/>
          <w:b/>
          <w:bCs/>
          <w:sz w:val="32"/>
          <w:szCs w:val="32"/>
        </w:rPr>
        <w:t>培育标杆示范企业。</w:t>
      </w:r>
      <w:r>
        <w:rPr>
          <w:rFonts w:ascii="Times New Roman" w:hAnsi="Times New Roman" w:eastAsia="仿宋" w:cs="Times New Roman"/>
          <w:sz w:val="32"/>
          <w:szCs w:val="32"/>
        </w:rPr>
        <w:t>结合行业特点，采用“相马制”、“揭榜挂帅”等方式，在轨道交通、航空航天、先进硬质材料、新能源装备、陶瓷、服饰等重点行业中选择优势企业，培育一批行业级数字化转型标杆。</w:t>
      </w:r>
      <w:r>
        <w:rPr>
          <w:rFonts w:ascii="Times New Roman" w:hAnsi="Times New Roman" w:eastAsia="仿宋" w:cs="Times New Roman"/>
          <w:color w:val="000000"/>
          <w:sz w:val="32"/>
          <w:szCs w:val="32"/>
        </w:rPr>
        <w:t>每年建设一批省级制造业数字化转型“三化”重点项目和“数字新基建”标志性项目，推动一批重点企业通过国家两化融合管理体系贯标，创建一批国省级智能制造、“5G+工业互联网”、两化融合管理体系贯标标杆企业等。</w:t>
      </w:r>
      <w:r>
        <w:rPr>
          <w:rFonts w:ascii="Times New Roman" w:hAnsi="Times New Roman" w:eastAsia="仿宋" w:cs="Times New Roman"/>
          <w:b/>
          <w:color w:val="000000"/>
          <w:sz w:val="32"/>
          <w:szCs w:val="32"/>
        </w:rPr>
        <w:t>推进融合融通。</w:t>
      </w:r>
      <w:r>
        <w:rPr>
          <w:rFonts w:ascii="Times New Roman" w:hAnsi="Times New Roman" w:eastAsia="仿宋" w:cs="Times New Roman"/>
          <w:color w:val="000000"/>
          <w:sz w:val="32"/>
          <w:szCs w:val="32"/>
        </w:rPr>
        <w:t>引导龙头企业建设网络协同平台，大力支持标杆企业面向中小企业输出数字化转型系统解决方案和实施经验，全面带动中小企业数字化改造、网络化协同、智能化升级。</w:t>
      </w:r>
      <w:r>
        <w:rPr>
          <w:rFonts w:ascii="Times New Roman" w:hAnsi="Times New Roman" w:eastAsia="仿宋" w:cs="Times New Roman"/>
          <w:sz w:val="32"/>
          <w:szCs w:val="32"/>
        </w:rPr>
        <w:t>推进智能化技术、设备、系统在农产品加工、物流、金融等农业或服务业的深度应用，培育供应链金融、服务型制造、共享制造等融通发展新模式。</w:t>
      </w:r>
      <w:r>
        <w:rPr>
          <w:rFonts w:hint="eastAsia" w:ascii="黑体" w:hAnsi="黑体" w:eastAsia="黑体" w:cs="黑体"/>
          <w:color w:val="000000"/>
          <w:sz w:val="32"/>
          <w:szCs w:val="32"/>
        </w:rPr>
        <w:t>（市工信局牵头，市发改委、市农业农村局、市商务局、市政府金融办、各县市区、各园区等按职责分工负责）</w:t>
      </w:r>
    </w:p>
    <w:p>
      <w:pPr>
        <w:spacing w:line="580" w:lineRule="exact"/>
        <w:ind w:firstLine="643" w:firstLineChars="200"/>
        <w:rPr>
          <w:rFonts w:ascii="Times New Roman" w:hAnsi="Times New Roman" w:eastAsia="仿宋" w:cs="Times New Roman"/>
          <w:sz w:val="32"/>
          <w:szCs w:val="32"/>
        </w:rPr>
      </w:pPr>
      <w:r>
        <w:rPr>
          <w:rFonts w:ascii="Times New Roman" w:hAnsi="Times New Roman" w:eastAsia="楷体" w:cs="Times New Roman"/>
          <w:b/>
          <w:bCs/>
          <w:sz w:val="32"/>
          <w:szCs w:val="32"/>
        </w:rPr>
        <w:t>8.实施中小企业“智转数改”行动。</w:t>
      </w:r>
      <w:r>
        <w:rPr>
          <w:rFonts w:ascii="Times New Roman" w:hAnsi="Times New Roman" w:eastAsia="仿宋" w:cs="Times New Roman"/>
          <w:sz w:val="32"/>
          <w:szCs w:val="32"/>
        </w:rPr>
        <w:t>按照“评估</w:t>
      </w:r>
      <w:r>
        <w:rPr>
          <w:rFonts w:hint="eastAsia" w:ascii="Times New Roman" w:hAnsi="Times New Roman" w:eastAsia="仿宋" w:cs="Times New Roman"/>
          <w:sz w:val="32"/>
          <w:szCs w:val="32"/>
        </w:rPr>
        <w:t>—</w:t>
      </w:r>
      <w:r>
        <w:rPr>
          <w:rFonts w:ascii="Times New Roman" w:hAnsi="Times New Roman" w:eastAsia="仿宋" w:cs="Times New Roman"/>
          <w:sz w:val="32"/>
          <w:szCs w:val="32"/>
        </w:rPr>
        <w:t>规划</w:t>
      </w:r>
      <w:r>
        <w:rPr>
          <w:rFonts w:hint="eastAsia" w:ascii="Times New Roman" w:hAnsi="Times New Roman" w:eastAsia="仿宋" w:cs="Times New Roman"/>
          <w:sz w:val="32"/>
          <w:szCs w:val="32"/>
        </w:rPr>
        <w:t>—</w:t>
      </w:r>
      <w:r>
        <w:rPr>
          <w:rFonts w:ascii="Times New Roman" w:hAnsi="Times New Roman" w:eastAsia="仿宋" w:cs="Times New Roman"/>
          <w:sz w:val="32"/>
          <w:szCs w:val="32"/>
        </w:rPr>
        <w:t>实施</w:t>
      </w:r>
      <w:r>
        <w:rPr>
          <w:rFonts w:hint="eastAsia" w:ascii="Times New Roman" w:hAnsi="Times New Roman" w:eastAsia="仿宋" w:cs="Times New Roman"/>
          <w:sz w:val="32"/>
          <w:szCs w:val="32"/>
        </w:rPr>
        <w:t>—</w:t>
      </w:r>
      <w:r>
        <w:rPr>
          <w:rFonts w:ascii="Times New Roman" w:hAnsi="Times New Roman" w:eastAsia="仿宋" w:cs="Times New Roman"/>
          <w:sz w:val="32"/>
          <w:szCs w:val="32"/>
        </w:rPr>
        <w:t>优化”的推进路径，科学高效推动中小企业</w:t>
      </w:r>
      <w:r>
        <w:rPr>
          <w:rFonts w:hint="eastAsia" w:ascii="Times New Roman" w:hAnsi="Times New Roman" w:eastAsia="仿宋" w:cs="Times New Roman"/>
          <w:sz w:val="32"/>
          <w:szCs w:val="32"/>
        </w:rPr>
        <w:t>数字化转型</w:t>
      </w:r>
      <w:r>
        <w:rPr>
          <w:rFonts w:ascii="Times New Roman" w:hAnsi="Times New Roman" w:eastAsia="仿宋" w:cs="Times New Roman"/>
          <w:sz w:val="32"/>
          <w:szCs w:val="32"/>
        </w:rPr>
        <w:t>。</w:t>
      </w:r>
      <w:r>
        <w:rPr>
          <w:rFonts w:ascii="Times New Roman" w:hAnsi="Times New Roman" w:eastAsia="仿宋" w:cs="Times New Roman"/>
          <w:b/>
          <w:bCs/>
          <w:sz w:val="32"/>
          <w:szCs w:val="32"/>
        </w:rPr>
        <w:t>加强转型引导。</w:t>
      </w:r>
      <w:r>
        <w:rPr>
          <w:rFonts w:ascii="Times New Roman" w:hAnsi="Times New Roman" w:eastAsia="仿宋" w:cs="Times New Roman"/>
          <w:sz w:val="32"/>
          <w:szCs w:val="32"/>
        </w:rPr>
        <w:t>加大中小企业在数字化转型中政策咨询、技术指导、人才培养等方面的培训力度，持续推进智能制造能力成熟度自评估和两化融合管理体系贯标认定工作。</w:t>
      </w:r>
      <w:r>
        <w:rPr>
          <w:rFonts w:ascii="Times New Roman" w:hAnsi="Times New Roman" w:eastAsia="仿宋" w:cs="Times New Roman"/>
          <w:b/>
          <w:bCs/>
          <w:sz w:val="32"/>
          <w:szCs w:val="32"/>
        </w:rPr>
        <w:t>加强跟踪服务。</w:t>
      </w:r>
      <w:r>
        <w:rPr>
          <w:rFonts w:ascii="Times New Roman" w:hAnsi="Times New Roman" w:eastAsia="仿宋" w:cs="Times New Roman"/>
          <w:sz w:val="32"/>
          <w:szCs w:val="32"/>
        </w:rPr>
        <w:t>支持数字化转型服务商面向中小企业开发“小快轻准”的解决方案，从评估规划、设备改造、系统上云、人才培训等环节提供全方位陪伴式服务。搭建生态服务资源池，推动不同转型阶段的中小企业精准对接产品服务生态资源。</w:t>
      </w:r>
      <w:r>
        <w:rPr>
          <w:rFonts w:ascii="Times New Roman" w:hAnsi="Times New Roman" w:eastAsia="仿宋" w:cs="Times New Roman"/>
          <w:b/>
          <w:bCs/>
          <w:sz w:val="32"/>
          <w:szCs w:val="32"/>
        </w:rPr>
        <w:t>加强梯度培育。</w:t>
      </w:r>
      <w:r>
        <w:rPr>
          <w:rFonts w:ascii="Times New Roman" w:hAnsi="Times New Roman" w:eastAsia="仿宋" w:cs="Times New Roman"/>
          <w:sz w:val="32"/>
          <w:szCs w:val="32"/>
        </w:rPr>
        <w:t>分级分类建立中小企业数字化转型梯度培育名单，推动每年新增5</w:t>
      </w:r>
      <w:r>
        <w:rPr>
          <w:rFonts w:hint="eastAsia" w:ascii="Times New Roman" w:hAnsi="Times New Roman" w:eastAsia="仿宋" w:cs="Times New Roman"/>
          <w:sz w:val="32"/>
          <w:szCs w:val="32"/>
        </w:rPr>
        <w:t>5</w:t>
      </w:r>
      <w:r>
        <w:rPr>
          <w:rFonts w:ascii="Times New Roman" w:hAnsi="Times New Roman" w:eastAsia="仿宋" w:cs="Times New Roman"/>
          <w:sz w:val="32"/>
          <w:szCs w:val="32"/>
        </w:rPr>
        <w:t>00家左右企业“上云”、500家左右企业“上平台”，培育一批“上云上平台”标杆。每年培育创新型中小企业350家左右，省级专精特新中小企业100家左右，国家专精特新“小巨人”企业35家左右，争创一批单项冠军企业（产品）。</w:t>
      </w:r>
      <w:r>
        <w:rPr>
          <w:rFonts w:hint="eastAsia" w:ascii="黑体" w:hAnsi="黑体" w:eastAsia="黑体" w:cs="黑体"/>
          <w:color w:val="000000"/>
          <w:sz w:val="32"/>
          <w:szCs w:val="32"/>
        </w:rPr>
        <w:t>（市工信局牵头，市发改委、市科技局、市工商联、各县市区、各园区等按职责分工负责）</w:t>
      </w:r>
    </w:p>
    <w:p>
      <w:pPr>
        <w:spacing w:line="580" w:lineRule="exact"/>
        <w:ind w:firstLine="643" w:firstLineChars="200"/>
        <w:rPr>
          <w:rFonts w:ascii="Times New Roman" w:hAnsi="Times New Roman" w:eastAsia="仿宋" w:cs="Times New Roman"/>
          <w:sz w:val="32"/>
          <w:szCs w:val="32"/>
        </w:rPr>
      </w:pPr>
      <w:r>
        <w:rPr>
          <w:rFonts w:ascii="Times New Roman" w:hAnsi="Times New Roman" w:eastAsia="楷体" w:cs="Times New Roman"/>
          <w:b/>
          <w:bCs/>
          <w:sz w:val="32"/>
          <w:szCs w:val="32"/>
        </w:rPr>
        <w:t>9.实施重点产业示范行动。</w:t>
      </w:r>
      <w:r>
        <w:rPr>
          <w:rFonts w:ascii="Times New Roman" w:hAnsi="Times New Roman" w:eastAsia="仿宋" w:cs="Times New Roman"/>
          <w:sz w:val="32"/>
          <w:szCs w:val="32"/>
        </w:rPr>
        <w:t>围绕株洲“3+3+2”现代化产业体系，加快新一代信息技术与制造业融合发展，着力提升产业链供应链韧性和安全水平。</w:t>
      </w:r>
      <w:r>
        <w:rPr>
          <w:rFonts w:ascii="Times New Roman" w:hAnsi="Times New Roman" w:eastAsia="仿宋" w:cs="Times New Roman"/>
          <w:b/>
          <w:bCs/>
          <w:sz w:val="32"/>
          <w:szCs w:val="32"/>
        </w:rPr>
        <w:t>推进三大优势产业智能化升级。</w:t>
      </w:r>
      <w:r>
        <w:rPr>
          <w:rFonts w:ascii="Times New Roman" w:hAnsi="Times New Roman" w:eastAsia="仿宋" w:cs="Times New Roman"/>
          <w:sz w:val="32"/>
          <w:szCs w:val="32"/>
        </w:rPr>
        <w:t>在轨道交通、航空航天两大装备制造领域，以复杂产品研制的数字化设计与柔性化生产为切入点，开展异地协同开发、云制造、柔性制造、模块定制、智能运维等新模式试点示范，积极探索面向产品全生命周期的智能化生产管理模式，加速供应链协同。在硬质合金领域，</w:t>
      </w:r>
      <w:r>
        <w:rPr>
          <w:rFonts w:ascii="Times New Roman" w:hAnsi="Times New Roman" w:eastAsia="仿宋" w:cs="Times New Roman"/>
          <w:bCs/>
          <w:sz w:val="32"/>
          <w:szCs w:val="32"/>
        </w:rPr>
        <w:t>支持企业以设备智能管控为切入点，聚焦全流程制造与安能环管理的智能优化，实现全过程绿色化生产。</w:t>
      </w:r>
      <w:r>
        <w:rPr>
          <w:rFonts w:ascii="Times New Roman" w:hAnsi="Times New Roman" w:eastAsia="仿宋" w:cs="Times New Roman"/>
          <w:b/>
          <w:bCs/>
          <w:sz w:val="32"/>
          <w:szCs w:val="32"/>
        </w:rPr>
        <w:t>加快三大战略性产业智能化转型。</w:t>
      </w:r>
      <w:r>
        <w:rPr>
          <w:rFonts w:ascii="Times New Roman" w:hAnsi="Times New Roman" w:eastAsia="仿宋" w:cs="Times New Roman"/>
          <w:bCs/>
          <w:sz w:val="32"/>
          <w:szCs w:val="32"/>
        </w:rPr>
        <w:t>在电子信息和新能源汽车领域</w:t>
      </w:r>
      <w:r>
        <w:rPr>
          <w:rFonts w:ascii="Times New Roman" w:hAnsi="Times New Roman" w:eastAsia="仿宋" w:cs="Times New Roman"/>
          <w:b/>
          <w:bCs/>
          <w:sz w:val="32"/>
          <w:szCs w:val="32"/>
        </w:rPr>
        <w:t>，</w:t>
      </w:r>
      <w:r>
        <w:rPr>
          <w:rFonts w:ascii="Times New Roman" w:hAnsi="Times New Roman" w:eastAsia="仿宋" w:cs="Times New Roman"/>
          <w:sz w:val="32"/>
          <w:szCs w:val="32"/>
        </w:rPr>
        <w:t>支持企业以提升工艺制程智能化、生产柔性化水平为切入点，</w:t>
      </w:r>
      <w:r>
        <w:rPr>
          <w:rFonts w:ascii="Times New Roman" w:hAnsi="Times New Roman" w:eastAsia="仿宋" w:cs="Times New Roman"/>
          <w:bCs/>
          <w:sz w:val="32"/>
          <w:szCs w:val="32"/>
        </w:rPr>
        <w:t>开展数字化工艺设计与可制造性分析，建立柔性可重构和大规模个性化定制生产模式，加速探索供应链弹性管控，提升产业链供应链韧性</w:t>
      </w:r>
      <w:r>
        <w:rPr>
          <w:rFonts w:ascii="Times New Roman" w:hAnsi="Times New Roman" w:eastAsia="仿宋" w:cs="Times New Roman"/>
          <w:sz w:val="32"/>
          <w:szCs w:val="32"/>
        </w:rPr>
        <w:t>。在</w:t>
      </w:r>
      <w:r>
        <w:rPr>
          <w:rFonts w:ascii="Times New Roman" w:hAnsi="Times New Roman" w:eastAsia="仿宋" w:cs="Times New Roman"/>
          <w:bCs/>
          <w:sz w:val="32"/>
          <w:szCs w:val="32"/>
        </w:rPr>
        <w:t>高分子新材料领域，</w:t>
      </w:r>
      <w:r>
        <w:rPr>
          <w:rFonts w:ascii="Times New Roman" w:hAnsi="Times New Roman" w:eastAsia="仿宋" w:cs="Times New Roman"/>
          <w:sz w:val="32"/>
          <w:szCs w:val="32"/>
        </w:rPr>
        <w:t>支持企业以数据驱动新产品研发实验为切入点，建立网络化协同平台，加强实时数据采集、设备监控、故障诊断等系统的集成应用，实现产品全生命周期可追溯管理。</w:t>
      </w:r>
      <w:r>
        <w:rPr>
          <w:rFonts w:ascii="Times New Roman" w:hAnsi="Times New Roman" w:eastAsia="仿宋" w:cs="Times New Roman"/>
          <w:b/>
          <w:bCs/>
          <w:sz w:val="32"/>
          <w:szCs w:val="32"/>
        </w:rPr>
        <w:t>突出两大传统产业数字化改造。</w:t>
      </w:r>
      <w:r>
        <w:rPr>
          <w:rFonts w:ascii="Times New Roman" w:hAnsi="Times New Roman" w:eastAsia="仿宋" w:cs="Times New Roman"/>
          <w:bCs/>
          <w:sz w:val="32"/>
          <w:szCs w:val="32"/>
        </w:rPr>
        <w:t>在陶瓷领域，支持企业</w:t>
      </w:r>
      <w:r>
        <w:rPr>
          <w:rFonts w:ascii="Times New Roman" w:hAnsi="Times New Roman" w:eastAsia="仿宋" w:cs="Times New Roman"/>
          <w:sz w:val="32"/>
          <w:szCs w:val="32"/>
        </w:rPr>
        <w:t>通过改造现有设备、自主研发专机等多种方式，有序推动设备智能化升级，在高强度、高精度岗位推广应用工业机器人。依托“思伯云”等陶瓷行业工业互联网平台，提升联网企业在生产管理、资源配置、能源优化、质量控制与溯源等方面的智能化水平。在服饰领域，支持企业以柔性定制生产为切入点，深入推进产供销一体化协同，加快推动云制造、共享制造、网络精准营销等新模式发展。</w:t>
      </w:r>
      <w:r>
        <w:rPr>
          <w:rFonts w:hint="eastAsia" w:ascii="黑体" w:hAnsi="黑体" w:eastAsia="黑体" w:cs="黑体"/>
          <w:color w:val="000000"/>
          <w:sz w:val="32"/>
          <w:szCs w:val="32"/>
        </w:rPr>
        <w:t>（市工信局牵头，市发改委、市科技局、市商务局、动力谷发展研究中心、相关县市区、相关园区等按职责分工负责）</w:t>
      </w:r>
    </w:p>
    <w:p>
      <w:pPr>
        <w:spacing w:line="580" w:lineRule="exact"/>
        <w:ind w:firstLine="643" w:firstLineChars="200"/>
        <w:rPr>
          <w:rFonts w:ascii="Times New Roman" w:hAnsi="Times New Roman" w:eastAsia="楷体" w:cs="Times New Roman"/>
          <w:b/>
          <w:bCs/>
          <w:color w:val="FF0000"/>
          <w:sz w:val="32"/>
          <w:szCs w:val="32"/>
        </w:rPr>
      </w:pPr>
      <w:r>
        <w:rPr>
          <w:rFonts w:ascii="Times New Roman" w:hAnsi="Times New Roman" w:eastAsia="楷体" w:cs="Times New Roman"/>
          <w:b/>
          <w:bCs/>
          <w:sz w:val="32"/>
          <w:szCs w:val="32"/>
        </w:rPr>
        <w:t>10.实施产业园区赋能行动。</w:t>
      </w:r>
      <w:r>
        <w:rPr>
          <w:rFonts w:ascii="Times New Roman" w:hAnsi="Times New Roman" w:eastAsia="仿宋" w:cs="Times New Roman"/>
          <w:sz w:val="32"/>
          <w:szCs w:val="32"/>
        </w:rPr>
        <w:t>以园区为主阵地，</w:t>
      </w:r>
      <w:r>
        <w:rPr>
          <w:rFonts w:hint="eastAsia" w:ascii="Times New Roman" w:hAnsi="Times New Roman" w:eastAsia="仿宋" w:cs="Times New Roman"/>
          <w:sz w:val="32"/>
          <w:szCs w:val="32"/>
        </w:rPr>
        <w:t>大力发展数字经济，</w:t>
      </w:r>
      <w:r>
        <w:rPr>
          <w:rFonts w:ascii="Times New Roman" w:hAnsi="Times New Roman" w:eastAsia="仿宋" w:cs="Times New Roman"/>
          <w:sz w:val="32"/>
          <w:szCs w:val="32"/>
        </w:rPr>
        <w:t>加快数字产业集聚发展，加速推动产业数字化转型，积极创建省级“5G+工业互联网”融合应用先导区和工业互联网新型工业化产业示范基地</w:t>
      </w:r>
      <w:r>
        <w:rPr>
          <w:rFonts w:ascii="Times New Roman" w:hAnsi="Times New Roman" w:eastAsia="仿宋" w:cs="Times New Roman"/>
          <w:bCs/>
          <w:sz w:val="32"/>
          <w:szCs w:val="32"/>
        </w:rPr>
        <w:t>，数字经济年均增长15%以上</w:t>
      </w:r>
      <w:r>
        <w:rPr>
          <w:rFonts w:ascii="Times New Roman" w:hAnsi="Times New Roman" w:eastAsia="仿宋" w:cs="Times New Roman"/>
          <w:sz w:val="32"/>
          <w:szCs w:val="32"/>
        </w:rPr>
        <w:t>。</w:t>
      </w:r>
      <w:r>
        <w:rPr>
          <w:rFonts w:ascii="Times New Roman" w:hAnsi="Times New Roman" w:eastAsia="仿宋" w:cs="Times New Roman"/>
          <w:b/>
          <w:bCs/>
          <w:sz w:val="32"/>
          <w:szCs w:val="32"/>
        </w:rPr>
        <w:t>推动数字产业园区建设。</w:t>
      </w:r>
      <w:r>
        <w:rPr>
          <w:rFonts w:ascii="Times New Roman" w:hAnsi="Times New Roman" w:eastAsia="仿宋" w:cs="Times New Roman"/>
          <w:sz w:val="32"/>
          <w:szCs w:val="32"/>
        </w:rPr>
        <w:t>重点支持以天易科技城、天元工业软件园、北斗产业园为代表的数字产业园区，培育引进一批掌握关键核心技术、具有核心竞争力的生态主导型数字产业企业。围绕智能终端、电池和电子材料、电子陶瓷等特色领域，做大自主可控计算机及信息安全产业。建立市级工业软件产品名录库，营造名园、名企、名品一体化的高端软件与信息服务产业生态。聚焦大数据、云计算、人工智能、区块链、5G等新兴领域，拓展数字技术应用，探索行业应用场景，以“应用促产业、产业带应用”推动新一代信息技术产业快速发展。</w:t>
      </w:r>
      <w:r>
        <w:rPr>
          <w:rFonts w:ascii="Times New Roman" w:hAnsi="Times New Roman" w:eastAsia="仿宋" w:cs="Times New Roman"/>
          <w:b/>
          <w:bCs/>
          <w:sz w:val="32"/>
          <w:szCs w:val="32"/>
        </w:rPr>
        <w:t>推动园区管理数字化提质。</w:t>
      </w:r>
      <w:r>
        <w:rPr>
          <w:rFonts w:ascii="Times New Roman" w:hAnsi="Times New Roman" w:eastAsia="仿宋" w:cs="Times New Roman"/>
          <w:sz w:val="32"/>
          <w:szCs w:val="32"/>
        </w:rPr>
        <w:t>以创建“五好”园区为目标，结合园区实际，提升信息网络综合承载能力和信息基础设施服务能力，创新开发一批智慧审批、智慧水务、智慧节能、智慧金融、智能监控等系统及应用模块。加快建设园区GIS、经济、企业、项目、人才等基础数据库，建立完善园区数字地图系统，打造智慧园区综合运维平台，积极探索产业链智慧招商。</w:t>
      </w:r>
      <w:r>
        <w:rPr>
          <w:rFonts w:ascii="Times New Roman" w:hAnsi="Times New Roman" w:eastAsia="仿宋" w:cs="Times New Roman"/>
          <w:b/>
          <w:bCs/>
          <w:sz w:val="32"/>
          <w:szCs w:val="32"/>
        </w:rPr>
        <w:t>推动园区企业智能化改造。</w:t>
      </w:r>
      <w:r>
        <w:rPr>
          <w:rFonts w:ascii="Times New Roman" w:hAnsi="Times New Roman" w:eastAsia="仿宋" w:cs="Times New Roman"/>
          <w:sz w:val="32"/>
          <w:szCs w:val="32"/>
        </w:rPr>
        <w:t>引导企业在产品研发、生产制造、运营管理等关键环节加大智能装备、信息化管理系统等应用，全面推进生产智能化转型、管理智能化集成、产品智能化升级、服务智能化延伸，建设一批智能工位、智能制造生产线（车间）、智能制造企业。</w:t>
      </w:r>
      <w:r>
        <w:rPr>
          <w:rFonts w:hint="eastAsia" w:ascii="黑体" w:hAnsi="黑体" w:eastAsia="黑体" w:cs="黑体"/>
          <w:color w:val="000000"/>
          <w:sz w:val="32"/>
          <w:szCs w:val="32"/>
        </w:rPr>
        <w:t>（市工信局牵头，市发改委、市科技局、市商务局、</w:t>
      </w:r>
      <w:r>
        <w:rPr>
          <w:rFonts w:hint="eastAsia" w:ascii="黑体" w:hAnsi="黑体" w:eastAsia="黑体" w:cs="黑体"/>
          <w:bCs/>
          <w:color w:val="000000"/>
          <w:sz w:val="32"/>
          <w:szCs w:val="32"/>
        </w:rPr>
        <w:t>市统计局、</w:t>
      </w:r>
      <w:r>
        <w:rPr>
          <w:rFonts w:hint="eastAsia" w:ascii="黑体" w:hAnsi="黑体" w:eastAsia="黑体" w:cs="黑体"/>
          <w:color w:val="000000"/>
          <w:sz w:val="32"/>
          <w:szCs w:val="32"/>
        </w:rPr>
        <w:t>市行政审批服务局、各园区等按职责分工负责）</w:t>
      </w: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四、保障措施</w:t>
      </w:r>
    </w:p>
    <w:p>
      <w:pPr>
        <w:spacing w:line="580" w:lineRule="exact"/>
        <w:ind w:firstLine="643" w:firstLineChars="200"/>
        <w:rPr>
          <w:rFonts w:ascii="Times New Roman" w:hAnsi="Times New Roman" w:eastAsia="仿宋" w:cs="Times New Roman"/>
          <w:sz w:val="32"/>
          <w:szCs w:val="32"/>
        </w:rPr>
      </w:pPr>
      <w:r>
        <w:rPr>
          <w:rFonts w:ascii="Times New Roman" w:hAnsi="Times New Roman" w:eastAsia="楷体" w:cs="Times New Roman"/>
          <w:b/>
          <w:bCs/>
          <w:sz w:val="32"/>
          <w:szCs w:val="32"/>
        </w:rPr>
        <w:t>1.加强统筹协调。</w:t>
      </w:r>
      <w:r>
        <w:rPr>
          <w:rFonts w:ascii="Times New Roman" w:hAnsi="Times New Roman" w:eastAsia="仿宋" w:cs="Times New Roman"/>
          <w:sz w:val="32"/>
          <w:szCs w:val="32"/>
        </w:rPr>
        <w:t>在株洲制造强市建设领导小组的领导下，形成市直有关部门、各</w:t>
      </w:r>
      <w:r>
        <w:rPr>
          <w:rFonts w:hint="eastAsia" w:ascii="Times New Roman" w:hAnsi="Times New Roman" w:eastAsia="仿宋" w:cs="Times New Roman"/>
          <w:sz w:val="32"/>
          <w:szCs w:val="32"/>
        </w:rPr>
        <w:t>县市区</w:t>
      </w:r>
      <w:r>
        <w:rPr>
          <w:rFonts w:ascii="Times New Roman" w:hAnsi="Times New Roman" w:eastAsia="仿宋" w:cs="Times New Roman"/>
          <w:sz w:val="32"/>
          <w:szCs w:val="32"/>
        </w:rPr>
        <w:t>、重点企业、行业商协会共同参与的工作协调机制，统筹专项行动推进工作。市工信局</w:t>
      </w:r>
      <w:r>
        <w:rPr>
          <w:rFonts w:hint="eastAsia" w:ascii="Times New Roman" w:hAnsi="Times New Roman" w:eastAsia="仿宋" w:cs="Times New Roman"/>
          <w:sz w:val="32"/>
          <w:szCs w:val="32"/>
        </w:rPr>
        <w:t>设立开展“智赋千企”行动专班</w:t>
      </w:r>
      <w:r>
        <w:rPr>
          <w:rFonts w:ascii="Times New Roman" w:hAnsi="Times New Roman" w:eastAsia="仿宋" w:cs="Times New Roman"/>
          <w:sz w:val="32"/>
          <w:szCs w:val="32"/>
        </w:rPr>
        <w:t>，负责日常工作协调、调度和通报，不定期召开工作会议。各县市区要建立工作推进机制，研究制定具体措施，抓好重点任务落实。各有关部门要加强协作，细化分解本方案明确的行动举措，推动工作目标如期实现。</w:t>
      </w:r>
    </w:p>
    <w:p>
      <w:pPr>
        <w:spacing w:line="580" w:lineRule="exact"/>
        <w:ind w:firstLine="643" w:firstLineChars="200"/>
        <w:rPr>
          <w:rFonts w:ascii="Times New Roman" w:hAnsi="Times New Roman" w:eastAsia="仿宋" w:cs="Times New Roman"/>
          <w:sz w:val="32"/>
          <w:szCs w:val="32"/>
        </w:rPr>
      </w:pPr>
      <w:r>
        <w:rPr>
          <w:rFonts w:ascii="Times New Roman" w:hAnsi="Times New Roman" w:eastAsia="楷体" w:cs="Times New Roman"/>
          <w:b/>
          <w:bCs/>
          <w:sz w:val="32"/>
          <w:szCs w:val="32"/>
        </w:rPr>
        <w:t>2.加强督查</w:t>
      </w:r>
      <w:r>
        <w:rPr>
          <w:rFonts w:hint="eastAsia" w:ascii="Times New Roman" w:hAnsi="Times New Roman" w:eastAsia="楷体" w:cs="Times New Roman"/>
          <w:b/>
          <w:bCs/>
          <w:sz w:val="32"/>
          <w:szCs w:val="32"/>
        </w:rPr>
        <w:t>评比</w:t>
      </w:r>
      <w:r>
        <w:rPr>
          <w:rFonts w:ascii="Times New Roman" w:hAnsi="Times New Roman" w:eastAsia="楷体" w:cs="Times New Roman"/>
          <w:b/>
          <w:bCs/>
          <w:sz w:val="32"/>
          <w:szCs w:val="32"/>
        </w:rPr>
        <w:t>。</w:t>
      </w:r>
      <w:r>
        <w:rPr>
          <w:rFonts w:ascii="Times New Roman" w:hAnsi="Times New Roman" w:eastAsia="仿宋" w:cs="Times New Roman"/>
          <w:sz w:val="32"/>
          <w:szCs w:val="32"/>
        </w:rPr>
        <w:t>按照职责分工，将任务分解到有关部门、县市区，建立“周调度、月通报、季小结、年总结”的</w:t>
      </w:r>
      <w:r>
        <w:rPr>
          <w:rFonts w:hint="eastAsia" w:ascii="Times New Roman" w:hAnsi="Times New Roman" w:eastAsia="仿宋" w:cs="Times New Roman"/>
          <w:sz w:val="32"/>
          <w:szCs w:val="32"/>
        </w:rPr>
        <w:t>信息反馈</w:t>
      </w:r>
      <w:r>
        <w:rPr>
          <w:rFonts w:ascii="Times New Roman" w:hAnsi="Times New Roman" w:eastAsia="仿宋" w:cs="Times New Roman"/>
          <w:sz w:val="32"/>
          <w:szCs w:val="32"/>
        </w:rPr>
        <w:t>机制，按时向省</w:t>
      </w:r>
      <w:r>
        <w:rPr>
          <w:rFonts w:hint="eastAsia" w:ascii="Times New Roman" w:hAnsi="Times New Roman" w:eastAsia="仿宋" w:cs="Times New Roman"/>
          <w:sz w:val="32"/>
          <w:szCs w:val="32"/>
        </w:rPr>
        <w:t>行动</w:t>
      </w:r>
      <w:r>
        <w:rPr>
          <w:rFonts w:ascii="Times New Roman" w:hAnsi="Times New Roman" w:eastAsia="仿宋" w:cs="Times New Roman"/>
          <w:sz w:val="32"/>
          <w:szCs w:val="32"/>
        </w:rPr>
        <w:t>专班办公室报送</w:t>
      </w:r>
      <w:r>
        <w:rPr>
          <w:rFonts w:hint="eastAsia" w:ascii="Times New Roman" w:hAnsi="Times New Roman" w:eastAsia="仿宋" w:cs="Times New Roman"/>
          <w:sz w:val="32"/>
          <w:szCs w:val="32"/>
        </w:rPr>
        <w:t>动态信息</w:t>
      </w:r>
      <w:r>
        <w:rPr>
          <w:rFonts w:ascii="Times New Roman" w:hAnsi="Times New Roman" w:eastAsia="仿宋" w:cs="Times New Roman"/>
          <w:sz w:val="32"/>
          <w:szCs w:val="32"/>
        </w:rPr>
        <w:t>，</w:t>
      </w:r>
      <w:r>
        <w:rPr>
          <w:rFonts w:hint="eastAsia" w:ascii="Times New Roman" w:hAnsi="Times New Roman" w:eastAsia="仿宋" w:cs="Times New Roman"/>
          <w:sz w:val="32"/>
          <w:szCs w:val="32"/>
        </w:rPr>
        <w:t>总结亮点工作和经验做法，</w:t>
      </w:r>
      <w:r>
        <w:rPr>
          <w:rFonts w:ascii="Times New Roman" w:hAnsi="Times New Roman" w:eastAsia="仿宋" w:cs="Times New Roman"/>
          <w:sz w:val="32"/>
          <w:szCs w:val="32"/>
        </w:rPr>
        <w:t>并呈报株洲制造强市建设领导小组。对高标准完成任务目标的县市区，将在国省市数字化项目申报中予以倾斜支持；对工作推进不力的进行督导，情节严重的予以通报。</w:t>
      </w:r>
    </w:p>
    <w:p>
      <w:pPr>
        <w:spacing w:line="580" w:lineRule="exact"/>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3.加强安全保障。</w:t>
      </w:r>
      <w:r>
        <w:rPr>
          <w:rFonts w:ascii="Times New Roman" w:hAnsi="Times New Roman" w:eastAsia="仿宋" w:cs="Times New Roman"/>
          <w:sz w:val="32"/>
          <w:szCs w:val="32"/>
        </w:rPr>
        <w:t>认真落实国省关于数据安全的有关工作要求，加大网络安全和数据安全保护力度，推进工业领域数据安全管理试点工作，建立株洲“市—区县”两级重要工业信息安全保护对象清单，加大安全可靠的信息产品、服务和解决方案的推广使用力度，营造安全可靠的企业数字化转型发展环境。</w:t>
      </w:r>
    </w:p>
    <w:p>
      <w:pPr>
        <w:spacing w:line="580" w:lineRule="exact"/>
        <w:ind w:firstLine="643" w:firstLineChars="200"/>
        <w:rPr>
          <w:rFonts w:ascii="Times New Roman" w:hAnsi="Times New Roman" w:cs="Times New Roman"/>
        </w:rPr>
      </w:pPr>
      <w:r>
        <w:rPr>
          <w:rFonts w:ascii="Times New Roman" w:hAnsi="Times New Roman" w:eastAsia="楷体" w:cs="Times New Roman"/>
          <w:b/>
          <w:bCs/>
          <w:sz w:val="32"/>
          <w:szCs w:val="32"/>
        </w:rPr>
        <w:t>4.加强</w:t>
      </w:r>
      <w:r>
        <w:rPr>
          <w:rFonts w:hint="eastAsia" w:ascii="Times New Roman" w:hAnsi="Times New Roman" w:eastAsia="楷体" w:cs="Times New Roman"/>
          <w:b/>
          <w:bCs/>
          <w:sz w:val="32"/>
          <w:szCs w:val="32"/>
        </w:rPr>
        <w:t>典型</w:t>
      </w:r>
      <w:r>
        <w:rPr>
          <w:rFonts w:ascii="Times New Roman" w:hAnsi="Times New Roman" w:eastAsia="楷体" w:cs="Times New Roman"/>
          <w:b/>
          <w:bCs/>
          <w:sz w:val="32"/>
          <w:szCs w:val="32"/>
        </w:rPr>
        <w:t>推介。</w:t>
      </w:r>
      <w:r>
        <w:rPr>
          <w:rFonts w:ascii="Times New Roman" w:hAnsi="Times New Roman" w:eastAsia="仿宋" w:cs="Times New Roman"/>
          <w:sz w:val="32"/>
          <w:szCs w:val="32"/>
        </w:rPr>
        <w:t>通过广播电视、短视频、报纸等省市主流媒体，树立一批标杆，对数字化转型成功且具代表性的典型案例、典型企业、典型服务商和典型个人予以宣传推广，</w:t>
      </w:r>
      <w:r>
        <w:rPr>
          <w:rFonts w:ascii="Times New Roman" w:hAnsi="Times New Roman" w:eastAsia="仿宋_GB2312" w:cs="Times New Roman"/>
          <w:sz w:val="32"/>
          <w:szCs w:val="32"/>
        </w:rPr>
        <w:t>营造良好的发展氛围。</w:t>
      </w:r>
    </w:p>
    <w:p>
      <w:pPr>
        <w:pStyle w:val="10"/>
        <w:spacing w:line="580" w:lineRule="exact"/>
        <w:ind w:firstLine="640" w:firstLineChars="200"/>
        <w:rPr>
          <w:rFonts w:ascii="Times New Roman" w:hAnsi="Times New Roman" w:eastAsia="仿宋" w:cs="Times New Roman"/>
          <w:sz w:val="32"/>
          <w:szCs w:val="32"/>
        </w:rPr>
      </w:pPr>
    </w:p>
    <w:p>
      <w:pPr>
        <w:pStyle w:val="10"/>
        <w:spacing w:line="580" w:lineRule="exact"/>
        <w:ind w:firstLine="640" w:firstLineChars="200"/>
        <w:rPr>
          <w:rFonts w:ascii="Times New Roman" w:hAnsi="Times New Roman" w:eastAsia="仿宋" w:cs="Times New Roman"/>
          <w:sz w:val="32"/>
          <w:szCs w:val="32"/>
        </w:rPr>
      </w:pPr>
    </w:p>
    <w:p>
      <w:pPr>
        <w:pStyle w:val="1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附件：1.企业上云上平台目标任务分解表</w:t>
      </w:r>
    </w:p>
    <w:p>
      <w:pPr>
        <w:spacing w:line="580" w:lineRule="exact"/>
        <w:ind w:firstLine="1600" w:firstLineChars="500"/>
        <w:rPr>
          <w:rFonts w:ascii="Times New Roman" w:hAnsi="Times New Roman" w:eastAsia="仿宋" w:cs="Times New Roman"/>
          <w:sz w:val="32"/>
          <w:szCs w:val="32"/>
        </w:rPr>
      </w:pPr>
      <w:r>
        <w:rPr>
          <w:rFonts w:ascii="Times New Roman" w:hAnsi="Times New Roman" w:eastAsia="仿宋" w:cs="Times New Roman"/>
          <w:sz w:val="32"/>
          <w:szCs w:val="32"/>
        </w:rPr>
        <w:t>2.智能制造目标任务分解表</w:t>
      </w:r>
    </w:p>
    <w:p>
      <w:pPr>
        <w:pStyle w:val="10"/>
        <w:spacing w:line="580" w:lineRule="exact"/>
        <w:ind w:firstLine="1600" w:firstLineChars="500"/>
        <w:rPr>
          <w:rFonts w:ascii="Times New Roman" w:hAnsi="Times New Roman" w:eastAsia="仿宋" w:cs="Times New Roman"/>
          <w:sz w:val="32"/>
          <w:szCs w:val="32"/>
        </w:rPr>
      </w:pPr>
      <w:r>
        <w:rPr>
          <w:rFonts w:ascii="Times New Roman" w:hAnsi="Times New Roman" w:eastAsia="仿宋" w:cs="Times New Roman"/>
          <w:sz w:val="32"/>
          <w:szCs w:val="32"/>
        </w:rPr>
        <w:t>3.重点工作任务分解表</w:t>
      </w:r>
    </w:p>
    <w:p>
      <w:pPr>
        <w:rPr>
          <w:rFonts w:ascii="Times New Roman" w:hAnsi="Times New Roman" w:eastAsia="仿宋" w:cs="Times New Roman"/>
          <w:sz w:val="32"/>
          <w:szCs w:val="32"/>
        </w:rPr>
      </w:pPr>
    </w:p>
    <w:p>
      <w:pPr>
        <w:pStyle w:val="10"/>
        <w:rPr>
          <w:rFonts w:ascii="Times New Roman" w:hAnsi="Times New Roman" w:eastAsia="仿宋" w:cs="Times New Roman"/>
          <w:sz w:val="32"/>
          <w:szCs w:val="32"/>
        </w:rPr>
        <w:sectPr>
          <w:footerReference r:id="rId3" w:type="default"/>
          <w:pgSz w:w="11906" w:h="16838"/>
          <w:pgMar w:top="1587" w:right="1701" w:bottom="1247" w:left="1417" w:header="964" w:footer="1247" w:gutter="0"/>
          <w:pgNumType w:fmt="numberInDash" w:start="1"/>
          <w:cols w:space="720" w:num="1"/>
          <w:docGrid w:type="lines" w:linePitch="312" w:charSpace="0"/>
        </w:sectPr>
      </w:pPr>
    </w:p>
    <w:p>
      <w:pPr>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企业上云上平台目标任务分解表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000"/>
        <w:gridCol w:w="1000"/>
        <w:gridCol w:w="1000"/>
        <w:gridCol w:w="1000"/>
        <w:gridCol w:w="1000"/>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 w:type="dxa"/>
            <w:vMerge w:val="restart"/>
            <w:vAlign w:val="center"/>
          </w:tcPr>
          <w:p>
            <w:pPr>
              <w:pStyle w:val="10"/>
              <w:jc w:val="center"/>
              <w:rPr>
                <w:rFonts w:ascii="Times New Roman" w:hAnsi="Times New Roman" w:eastAsia="仿宋" w:cs="Times New Roman"/>
                <w:b/>
                <w:bCs/>
                <w:sz w:val="24"/>
              </w:rPr>
            </w:pPr>
            <w:r>
              <w:rPr>
                <w:rFonts w:ascii="Times New Roman" w:hAnsi="Times New Roman" w:eastAsia="仿宋" w:cs="Times New Roman"/>
                <w:b/>
                <w:bCs/>
                <w:sz w:val="24"/>
              </w:rPr>
              <w:t>县市区</w:t>
            </w:r>
          </w:p>
        </w:tc>
        <w:tc>
          <w:tcPr>
            <w:tcW w:w="4000" w:type="dxa"/>
            <w:gridSpan w:val="4"/>
            <w:vAlign w:val="center"/>
          </w:tcPr>
          <w:p>
            <w:pPr>
              <w:pStyle w:val="10"/>
              <w:jc w:val="center"/>
              <w:rPr>
                <w:rFonts w:ascii="Times New Roman" w:hAnsi="Times New Roman" w:eastAsia="仿宋" w:cs="Times New Roman"/>
                <w:b/>
                <w:bCs/>
                <w:sz w:val="24"/>
              </w:rPr>
            </w:pPr>
            <w:r>
              <w:rPr>
                <w:rFonts w:ascii="Times New Roman" w:hAnsi="Times New Roman" w:eastAsia="仿宋" w:cs="Times New Roman"/>
                <w:b/>
                <w:bCs/>
                <w:sz w:val="24"/>
              </w:rPr>
              <w:t>上云企业新增目标数</w:t>
            </w:r>
          </w:p>
        </w:tc>
        <w:tc>
          <w:tcPr>
            <w:tcW w:w="4000" w:type="dxa"/>
            <w:gridSpan w:val="4"/>
            <w:vAlign w:val="center"/>
          </w:tcPr>
          <w:p>
            <w:pPr>
              <w:pStyle w:val="10"/>
              <w:jc w:val="center"/>
              <w:rPr>
                <w:rFonts w:ascii="Times New Roman" w:hAnsi="Times New Roman" w:eastAsia="仿宋" w:cs="Times New Roman"/>
                <w:b/>
                <w:bCs/>
                <w:sz w:val="24"/>
              </w:rPr>
            </w:pPr>
            <w:r>
              <w:rPr>
                <w:rFonts w:ascii="Times New Roman" w:hAnsi="Times New Roman" w:eastAsia="仿宋" w:cs="Times New Roman"/>
                <w:b/>
                <w:bCs/>
                <w:sz w:val="24"/>
              </w:rPr>
              <w:t>上平台企业新增目标数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 w:type="dxa"/>
            <w:vMerge w:val="continue"/>
            <w:vAlign w:val="center"/>
          </w:tcPr>
          <w:p>
            <w:pPr>
              <w:pStyle w:val="10"/>
              <w:jc w:val="center"/>
              <w:rPr>
                <w:rFonts w:ascii="Times New Roman" w:hAnsi="Times New Roman" w:eastAsia="仿宋" w:cs="Times New Roman"/>
                <w:b/>
                <w:bCs/>
                <w:sz w:val="24"/>
              </w:rPr>
            </w:pPr>
          </w:p>
        </w:tc>
        <w:tc>
          <w:tcPr>
            <w:tcW w:w="1000" w:type="dxa"/>
            <w:vAlign w:val="center"/>
          </w:tcPr>
          <w:p>
            <w:pPr>
              <w:pStyle w:val="10"/>
              <w:jc w:val="center"/>
              <w:rPr>
                <w:rFonts w:ascii="Times New Roman" w:hAnsi="Times New Roman" w:eastAsia="仿宋" w:cs="Times New Roman"/>
                <w:b/>
                <w:bCs/>
                <w:sz w:val="24"/>
              </w:rPr>
            </w:pPr>
            <w:r>
              <w:rPr>
                <w:rFonts w:ascii="Times New Roman" w:hAnsi="Times New Roman" w:eastAsia="仿宋" w:cs="Times New Roman"/>
                <w:b/>
                <w:bCs/>
                <w:color w:val="000000"/>
                <w:kern w:val="0"/>
                <w:sz w:val="24"/>
              </w:rPr>
              <w:t>合计</w:t>
            </w:r>
          </w:p>
        </w:tc>
        <w:tc>
          <w:tcPr>
            <w:tcW w:w="1000" w:type="dxa"/>
            <w:vAlign w:val="center"/>
          </w:tcPr>
          <w:p>
            <w:pPr>
              <w:pStyle w:val="10"/>
              <w:jc w:val="center"/>
              <w:rPr>
                <w:rFonts w:ascii="Times New Roman" w:hAnsi="Times New Roman" w:eastAsia="仿宋" w:cs="Times New Roman"/>
                <w:b/>
                <w:bCs/>
                <w:sz w:val="24"/>
              </w:rPr>
            </w:pPr>
            <w:r>
              <w:rPr>
                <w:rFonts w:ascii="Times New Roman" w:hAnsi="Times New Roman" w:eastAsia="仿宋" w:cs="Times New Roman"/>
                <w:b/>
                <w:bCs/>
                <w:sz w:val="24"/>
              </w:rPr>
              <w:t>2023年</w:t>
            </w:r>
          </w:p>
        </w:tc>
        <w:tc>
          <w:tcPr>
            <w:tcW w:w="1000" w:type="dxa"/>
            <w:vAlign w:val="center"/>
          </w:tcPr>
          <w:p>
            <w:pPr>
              <w:pStyle w:val="10"/>
              <w:jc w:val="center"/>
              <w:rPr>
                <w:rFonts w:ascii="Times New Roman" w:hAnsi="Times New Roman" w:eastAsia="仿宋" w:cs="Times New Roman"/>
                <w:b/>
                <w:bCs/>
                <w:sz w:val="24"/>
              </w:rPr>
            </w:pPr>
            <w:r>
              <w:rPr>
                <w:rFonts w:ascii="Times New Roman" w:hAnsi="Times New Roman" w:eastAsia="仿宋" w:cs="Times New Roman"/>
                <w:b/>
                <w:bCs/>
                <w:sz w:val="24"/>
              </w:rPr>
              <w:t>2024年</w:t>
            </w:r>
          </w:p>
        </w:tc>
        <w:tc>
          <w:tcPr>
            <w:tcW w:w="1000" w:type="dxa"/>
            <w:vAlign w:val="center"/>
          </w:tcPr>
          <w:p>
            <w:pPr>
              <w:pStyle w:val="10"/>
              <w:jc w:val="center"/>
              <w:rPr>
                <w:rFonts w:ascii="Times New Roman" w:hAnsi="Times New Roman" w:eastAsia="仿宋" w:cs="Times New Roman"/>
                <w:b/>
                <w:bCs/>
                <w:sz w:val="24"/>
              </w:rPr>
            </w:pPr>
            <w:r>
              <w:rPr>
                <w:rFonts w:ascii="Times New Roman" w:hAnsi="Times New Roman" w:eastAsia="仿宋" w:cs="Times New Roman"/>
                <w:b/>
                <w:bCs/>
                <w:sz w:val="24"/>
              </w:rPr>
              <w:t>2025年</w:t>
            </w:r>
          </w:p>
        </w:tc>
        <w:tc>
          <w:tcPr>
            <w:tcW w:w="1000" w:type="dxa"/>
            <w:vAlign w:val="center"/>
          </w:tcPr>
          <w:p>
            <w:pPr>
              <w:pStyle w:val="10"/>
              <w:jc w:val="center"/>
              <w:rPr>
                <w:rFonts w:ascii="Times New Roman" w:hAnsi="Times New Roman" w:eastAsia="仿宋" w:cs="Times New Roman"/>
                <w:b/>
                <w:bCs/>
                <w:sz w:val="24"/>
              </w:rPr>
            </w:pPr>
            <w:r>
              <w:rPr>
                <w:rFonts w:ascii="Times New Roman" w:hAnsi="Times New Roman" w:eastAsia="仿宋" w:cs="Times New Roman"/>
                <w:b/>
                <w:bCs/>
                <w:color w:val="000000"/>
                <w:kern w:val="0"/>
                <w:sz w:val="24"/>
              </w:rPr>
              <w:t>合计</w:t>
            </w:r>
          </w:p>
        </w:tc>
        <w:tc>
          <w:tcPr>
            <w:tcW w:w="1000" w:type="dxa"/>
            <w:vAlign w:val="center"/>
          </w:tcPr>
          <w:p>
            <w:pPr>
              <w:pStyle w:val="10"/>
              <w:jc w:val="center"/>
              <w:rPr>
                <w:rFonts w:ascii="Times New Roman" w:hAnsi="Times New Roman" w:eastAsia="仿宋" w:cs="Times New Roman"/>
                <w:b/>
                <w:bCs/>
                <w:sz w:val="24"/>
              </w:rPr>
            </w:pPr>
            <w:r>
              <w:rPr>
                <w:rFonts w:ascii="Times New Roman" w:hAnsi="Times New Roman" w:eastAsia="仿宋" w:cs="Times New Roman"/>
                <w:b/>
                <w:bCs/>
                <w:sz w:val="24"/>
              </w:rPr>
              <w:t>2023年</w:t>
            </w:r>
          </w:p>
        </w:tc>
        <w:tc>
          <w:tcPr>
            <w:tcW w:w="1000" w:type="dxa"/>
            <w:vAlign w:val="center"/>
          </w:tcPr>
          <w:p>
            <w:pPr>
              <w:pStyle w:val="10"/>
              <w:jc w:val="center"/>
              <w:rPr>
                <w:rFonts w:ascii="Times New Roman" w:hAnsi="Times New Roman" w:eastAsia="仿宋" w:cs="Times New Roman"/>
                <w:b/>
                <w:bCs/>
                <w:sz w:val="24"/>
              </w:rPr>
            </w:pPr>
            <w:r>
              <w:rPr>
                <w:rFonts w:ascii="Times New Roman" w:hAnsi="Times New Roman" w:eastAsia="仿宋" w:cs="Times New Roman"/>
                <w:b/>
                <w:bCs/>
                <w:sz w:val="24"/>
              </w:rPr>
              <w:t>2024年</w:t>
            </w:r>
          </w:p>
        </w:tc>
        <w:tc>
          <w:tcPr>
            <w:tcW w:w="1000" w:type="dxa"/>
            <w:vAlign w:val="center"/>
          </w:tcPr>
          <w:p>
            <w:pPr>
              <w:pStyle w:val="10"/>
              <w:jc w:val="center"/>
              <w:rPr>
                <w:rFonts w:ascii="Times New Roman" w:hAnsi="Times New Roman" w:eastAsia="仿宋" w:cs="Times New Roman"/>
                <w:b/>
                <w:bCs/>
                <w:sz w:val="24"/>
              </w:rPr>
            </w:pPr>
            <w:r>
              <w:rPr>
                <w:rFonts w:ascii="Times New Roman" w:hAnsi="Times New Roman" w:eastAsia="仿宋" w:cs="Times New Roman"/>
                <w:b/>
                <w:bCs/>
                <w:sz w:val="24"/>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 w:type="dxa"/>
            <w:vAlign w:val="center"/>
          </w:tcPr>
          <w:p>
            <w:pPr>
              <w:widowControl/>
              <w:spacing w:line="0" w:lineRule="atLeast"/>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合计</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16500</w:t>
            </w:r>
          </w:p>
        </w:tc>
        <w:tc>
          <w:tcPr>
            <w:tcW w:w="1000" w:type="dxa"/>
            <w:vAlign w:val="center"/>
          </w:tcPr>
          <w:p>
            <w:pPr>
              <w:widowControl/>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5455</w:t>
            </w:r>
          </w:p>
        </w:tc>
        <w:tc>
          <w:tcPr>
            <w:tcW w:w="1000" w:type="dxa"/>
            <w:vAlign w:val="center"/>
          </w:tcPr>
          <w:p>
            <w:pPr>
              <w:widowControl/>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5515</w:t>
            </w:r>
          </w:p>
        </w:tc>
        <w:tc>
          <w:tcPr>
            <w:tcW w:w="1000" w:type="dxa"/>
            <w:vAlign w:val="center"/>
          </w:tcPr>
          <w:p>
            <w:pPr>
              <w:widowControl/>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5530</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1500</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sz w:val="24"/>
              </w:rPr>
              <w:t>487</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sz w:val="24"/>
              </w:rPr>
              <w:t>498</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sz w:val="24"/>
              </w:rP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 w:type="dxa"/>
            <w:vAlign w:val="center"/>
          </w:tcPr>
          <w:p>
            <w:pPr>
              <w:widowControl/>
              <w:spacing w:line="0" w:lineRule="atLeast"/>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天元区</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4500</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1500</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1500</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1500</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375</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125</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125</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 w:type="dxa"/>
            <w:vAlign w:val="center"/>
          </w:tcPr>
          <w:p>
            <w:pPr>
              <w:widowControl/>
              <w:spacing w:line="0" w:lineRule="atLeast"/>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石峰区</w:t>
            </w:r>
            <w:r>
              <w:rPr>
                <w:rFonts w:hint="eastAsia" w:ascii="Times New Roman" w:hAnsi="Times New Roman" w:eastAsia="仿宋" w:cs="Times New Roman"/>
                <w:color w:val="000000"/>
                <w:spacing w:val="-20"/>
                <w:kern w:val="0"/>
                <w:sz w:val="24"/>
              </w:rPr>
              <w:t>(含株洲经开区)</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2300</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765</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765</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770</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280</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90</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90</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 w:type="dxa"/>
            <w:vAlign w:val="center"/>
          </w:tcPr>
          <w:p>
            <w:pPr>
              <w:widowControl/>
              <w:spacing w:line="0" w:lineRule="atLeast"/>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芦淞区</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2200</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700</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750</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750</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260</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85</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85</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 w:type="dxa"/>
            <w:vAlign w:val="center"/>
          </w:tcPr>
          <w:p>
            <w:pPr>
              <w:widowControl/>
              <w:spacing w:line="0" w:lineRule="atLeast"/>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荷塘区</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2000</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660</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665</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675</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210</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70</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70</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 w:type="dxa"/>
            <w:vAlign w:val="center"/>
          </w:tcPr>
          <w:p>
            <w:pPr>
              <w:widowControl/>
              <w:spacing w:line="0" w:lineRule="atLeast"/>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渌口区</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1200</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400</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400</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400</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20</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6</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7</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99" w:type="dxa"/>
            <w:vAlign w:val="center"/>
          </w:tcPr>
          <w:p>
            <w:pPr>
              <w:widowControl/>
              <w:spacing w:line="0" w:lineRule="atLeast"/>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醴陵市</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2400</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800</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800</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800</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320</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100</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110</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99" w:type="dxa"/>
            <w:vAlign w:val="center"/>
          </w:tcPr>
          <w:p>
            <w:pPr>
              <w:widowControl/>
              <w:spacing w:line="0" w:lineRule="atLeast"/>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攸</w:t>
            </w:r>
            <w:r>
              <w:rPr>
                <w:rStyle w:val="12"/>
                <w:rFonts w:eastAsia="仿宋"/>
                <w:b w:val="0"/>
                <w:bCs w:val="0"/>
                <w:sz w:val="24"/>
                <w:szCs w:val="24"/>
              </w:rPr>
              <w:t xml:space="preserve">  </w:t>
            </w:r>
            <w:r>
              <w:rPr>
                <w:rStyle w:val="13"/>
                <w:rFonts w:hint="default" w:ascii="Times New Roman" w:hAnsi="Times New Roman" w:eastAsia="仿宋" w:cs="Times New Roman"/>
                <w:sz w:val="24"/>
                <w:szCs w:val="24"/>
              </w:rPr>
              <w:t>县</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900</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300</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300</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300</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15</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5</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5</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99" w:type="dxa"/>
            <w:vAlign w:val="center"/>
          </w:tcPr>
          <w:p>
            <w:pPr>
              <w:widowControl/>
              <w:spacing w:line="0" w:lineRule="atLeast"/>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茶陵县</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700</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230</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235</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235</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10</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3</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3</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99" w:type="dxa"/>
            <w:vAlign w:val="center"/>
          </w:tcPr>
          <w:p>
            <w:pPr>
              <w:widowControl/>
              <w:spacing w:line="0" w:lineRule="atLeast"/>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炎陵县</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300</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100</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100</w:t>
            </w:r>
          </w:p>
        </w:tc>
        <w:tc>
          <w:tcPr>
            <w:tcW w:w="100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100</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10</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3</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3</w:t>
            </w:r>
          </w:p>
        </w:tc>
        <w:tc>
          <w:tcPr>
            <w:tcW w:w="1000" w:type="dxa"/>
            <w:vAlign w:val="center"/>
          </w:tcPr>
          <w:p>
            <w:pPr>
              <w:pStyle w:val="10"/>
              <w:jc w:val="center"/>
              <w:rPr>
                <w:rFonts w:ascii="Times New Roman" w:hAnsi="Times New Roman" w:eastAsia="仿宋" w:cs="Times New Roman"/>
                <w:sz w:val="24"/>
              </w:rPr>
            </w:pPr>
            <w:r>
              <w:rPr>
                <w:rFonts w:ascii="Times New Roman" w:hAnsi="Times New Roman" w:eastAsia="仿宋" w:cs="Times New Roman"/>
                <w:sz w:val="24"/>
              </w:rPr>
              <w:t>4</w:t>
            </w:r>
          </w:p>
        </w:tc>
      </w:tr>
    </w:tbl>
    <w:p>
      <w:pPr>
        <w:pStyle w:val="10"/>
        <w:rPr>
          <w:rFonts w:ascii="Times New Roman" w:hAnsi="Times New Roman" w:cs="Times New Roman"/>
        </w:rPr>
      </w:pPr>
    </w:p>
    <w:p>
      <w:pPr>
        <w:rPr>
          <w:rFonts w:ascii="Times New Roman" w:hAnsi="Times New Roman" w:cs="Times New Roman"/>
        </w:rPr>
      </w:pPr>
    </w:p>
    <w:p>
      <w:pPr>
        <w:pStyle w:val="11"/>
        <w:rPr>
          <w:rFonts w:ascii="Times New Roman" w:hAnsi="Times New Roman" w:cs="Times New Roman"/>
        </w:rPr>
      </w:pPr>
    </w:p>
    <w:p>
      <w:pPr>
        <w:rPr>
          <w:rFonts w:ascii="Times New Roman" w:hAnsi="Times New Roman" w:cs="Times New Roman"/>
        </w:rPr>
        <w:sectPr>
          <w:pgSz w:w="11906" w:h="16838"/>
          <w:pgMar w:top="1587" w:right="1701" w:bottom="1247" w:left="1417" w:header="964" w:footer="1247" w:gutter="0"/>
          <w:pgNumType w:fmt="numberInDash"/>
          <w:cols w:space="720" w:num="1"/>
          <w:docGrid w:type="lines" w:linePitch="312" w:charSpace="0"/>
        </w:sectPr>
      </w:pPr>
    </w:p>
    <w:p>
      <w:pPr>
        <w:jc w:val="left"/>
        <w:rPr>
          <w:rFonts w:ascii="Times New Roman" w:hAnsi="Times New Roman" w:eastAsia="黑体" w:cs="Times New Roman"/>
          <w:sz w:val="32"/>
          <w:szCs w:val="32"/>
        </w:rPr>
      </w:pPr>
      <w:r>
        <w:rPr>
          <w:rFonts w:ascii="Times New Roman" w:hAnsi="Times New Roman" w:eastAsia="黑体" w:cs="Times New Roman"/>
          <w:sz w:val="32"/>
          <w:szCs w:val="32"/>
        </w:rPr>
        <w:t>附件2</w:t>
      </w: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智能制造目标任务分解表</w:t>
      </w:r>
    </w:p>
    <w:tbl>
      <w:tblPr>
        <w:tblStyle w:val="6"/>
        <w:tblW w:w="14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921"/>
        <w:gridCol w:w="1105"/>
        <w:gridCol w:w="1105"/>
        <w:gridCol w:w="1108"/>
        <w:gridCol w:w="1105"/>
        <w:gridCol w:w="1105"/>
        <w:gridCol w:w="1105"/>
        <w:gridCol w:w="1108"/>
        <w:gridCol w:w="1077"/>
        <w:gridCol w:w="1077"/>
        <w:gridCol w:w="107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88" w:type="dxa"/>
            <w:vMerge w:val="restart"/>
            <w:vAlign w:val="center"/>
          </w:tcPr>
          <w:p>
            <w:pPr>
              <w:pStyle w:val="10"/>
              <w:jc w:val="center"/>
              <w:rPr>
                <w:rFonts w:ascii="Times New Roman" w:hAnsi="Times New Roman" w:eastAsia="仿宋" w:cs="Times New Roman"/>
                <w:b/>
                <w:bCs/>
                <w:sz w:val="24"/>
              </w:rPr>
            </w:pPr>
            <w:r>
              <w:rPr>
                <w:rFonts w:ascii="Times New Roman" w:hAnsi="Times New Roman" w:eastAsia="仿宋" w:cs="Times New Roman"/>
                <w:b/>
                <w:bCs/>
                <w:sz w:val="24"/>
              </w:rPr>
              <w:t>县市区</w:t>
            </w:r>
          </w:p>
        </w:tc>
        <w:tc>
          <w:tcPr>
            <w:tcW w:w="4239" w:type="dxa"/>
            <w:gridSpan w:val="4"/>
            <w:vAlign w:val="center"/>
          </w:tcPr>
          <w:p>
            <w:pPr>
              <w:pStyle w:val="10"/>
              <w:jc w:val="center"/>
              <w:rPr>
                <w:rFonts w:ascii="Times New Roman" w:hAnsi="Times New Roman" w:eastAsia="仿宋" w:cs="Times New Roman"/>
                <w:b/>
                <w:bCs/>
                <w:sz w:val="24"/>
              </w:rPr>
            </w:pPr>
            <w:r>
              <w:rPr>
                <w:rFonts w:ascii="Times New Roman" w:hAnsi="Times New Roman" w:eastAsia="仿宋" w:cs="Times New Roman"/>
                <w:b/>
                <w:bCs/>
                <w:sz w:val="24"/>
              </w:rPr>
              <w:t>智能制造企业数</w:t>
            </w:r>
          </w:p>
        </w:tc>
        <w:tc>
          <w:tcPr>
            <w:tcW w:w="4423" w:type="dxa"/>
            <w:gridSpan w:val="4"/>
            <w:vAlign w:val="center"/>
          </w:tcPr>
          <w:p>
            <w:pPr>
              <w:pStyle w:val="10"/>
              <w:jc w:val="center"/>
              <w:rPr>
                <w:rFonts w:ascii="Times New Roman" w:hAnsi="Times New Roman" w:eastAsia="仿宋" w:cs="Times New Roman"/>
                <w:b/>
                <w:bCs/>
                <w:sz w:val="24"/>
              </w:rPr>
            </w:pPr>
            <w:r>
              <w:rPr>
                <w:rFonts w:ascii="Times New Roman" w:hAnsi="Times New Roman" w:eastAsia="仿宋" w:cs="Times New Roman"/>
                <w:b/>
                <w:bCs/>
                <w:sz w:val="24"/>
              </w:rPr>
              <w:t>智能制造产线（车间）数</w:t>
            </w:r>
          </w:p>
        </w:tc>
        <w:tc>
          <w:tcPr>
            <w:tcW w:w="4308" w:type="dxa"/>
            <w:gridSpan w:val="4"/>
            <w:vAlign w:val="center"/>
          </w:tcPr>
          <w:p>
            <w:pPr>
              <w:pStyle w:val="10"/>
              <w:jc w:val="center"/>
              <w:rPr>
                <w:rFonts w:ascii="Times New Roman" w:hAnsi="Times New Roman" w:eastAsia="仿宋" w:cs="Times New Roman"/>
                <w:b/>
                <w:bCs/>
                <w:sz w:val="24"/>
              </w:rPr>
            </w:pPr>
            <w:r>
              <w:rPr>
                <w:rFonts w:ascii="Times New Roman" w:hAnsi="Times New Roman" w:eastAsia="仿宋" w:cs="Times New Roman"/>
                <w:b/>
                <w:bCs/>
                <w:sz w:val="24"/>
              </w:rPr>
              <w:t>智能工位数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88" w:type="dxa"/>
            <w:vMerge w:val="continue"/>
            <w:vAlign w:val="center"/>
          </w:tcPr>
          <w:p>
            <w:pPr>
              <w:pStyle w:val="10"/>
              <w:jc w:val="center"/>
              <w:rPr>
                <w:rFonts w:ascii="Times New Roman" w:hAnsi="Times New Roman" w:eastAsia="仿宋" w:cs="Times New Roman"/>
                <w:b/>
                <w:bCs/>
                <w:sz w:val="24"/>
              </w:rPr>
            </w:pPr>
          </w:p>
        </w:tc>
        <w:tc>
          <w:tcPr>
            <w:tcW w:w="921" w:type="dxa"/>
            <w:vAlign w:val="center"/>
          </w:tcPr>
          <w:p>
            <w:pPr>
              <w:pStyle w:val="10"/>
              <w:jc w:val="center"/>
              <w:rPr>
                <w:rFonts w:ascii="Times New Roman" w:hAnsi="Times New Roman" w:eastAsia="仿宋" w:cs="Times New Roman"/>
                <w:b/>
                <w:bCs/>
                <w:sz w:val="24"/>
              </w:rPr>
            </w:pPr>
            <w:r>
              <w:rPr>
                <w:rFonts w:ascii="Times New Roman" w:hAnsi="Times New Roman" w:eastAsia="仿宋" w:cs="Times New Roman"/>
                <w:b/>
                <w:bCs/>
                <w:color w:val="000000"/>
                <w:kern w:val="0"/>
                <w:sz w:val="24"/>
              </w:rPr>
              <w:t>合计</w:t>
            </w:r>
          </w:p>
        </w:tc>
        <w:tc>
          <w:tcPr>
            <w:tcW w:w="1105" w:type="dxa"/>
            <w:vAlign w:val="center"/>
          </w:tcPr>
          <w:p>
            <w:pPr>
              <w:pStyle w:val="10"/>
              <w:jc w:val="center"/>
              <w:rPr>
                <w:rFonts w:ascii="Times New Roman" w:hAnsi="Times New Roman" w:eastAsia="仿宋" w:cs="Times New Roman"/>
                <w:b/>
                <w:bCs/>
                <w:sz w:val="24"/>
              </w:rPr>
            </w:pPr>
            <w:r>
              <w:rPr>
                <w:rFonts w:ascii="Times New Roman" w:hAnsi="Times New Roman" w:eastAsia="仿宋" w:cs="Times New Roman"/>
                <w:b/>
                <w:bCs/>
                <w:sz w:val="24"/>
              </w:rPr>
              <w:t>2023年</w:t>
            </w:r>
          </w:p>
        </w:tc>
        <w:tc>
          <w:tcPr>
            <w:tcW w:w="1105" w:type="dxa"/>
            <w:vAlign w:val="center"/>
          </w:tcPr>
          <w:p>
            <w:pPr>
              <w:pStyle w:val="10"/>
              <w:jc w:val="center"/>
              <w:rPr>
                <w:rFonts w:ascii="Times New Roman" w:hAnsi="Times New Roman" w:eastAsia="仿宋" w:cs="Times New Roman"/>
                <w:b/>
                <w:bCs/>
                <w:sz w:val="24"/>
              </w:rPr>
            </w:pPr>
            <w:r>
              <w:rPr>
                <w:rFonts w:ascii="Times New Roman" w:hAnsi="Times New Roman" w:eastAsia="仿宋" w:cs="Times New Roman"/>
                <w:b/>
                <w:bCs/>
                <w:sz w:val="24"/>
              </w:rPr>
              <w:t>2024年</w:t>
            </w:r>
          </w:p>
        </w:tc>
        <w:tc>
          <w:tcPr>
            <w:tcW w:w="1108" w:type="dxa"/>
            <w:vAlign w:val="center"/>
          </w:tcPr>
          <w:p>
            <w:pPr>
              <w:pStyle w:val="10"/>
              <w:jc w:val="center"/>
              <w:rPr>
                <w:rFonts w:ascii="Times New Roman" w:hAnsi="Times New Roman" w:eastAsia="仿宋" w:cs="Times New Roman"/>
                <w:b/>
                <w:bCs/>
                <w:sz w:val="24"/>
              </w:rPr>
            </w:pPr>
            <w:r>
              <w:rPr>
                <w:rFonts w:ascii="Times New Roman" w:hAnsi="Times New Roman" w:eastAsia="仿宋" w:cs="Times New Roman"/>
                <w:b/>
                <w:bCs/>
                <w:sz w:val="24"/>
              </w:rPr>
              <w:t>2025年</w:t>
            </w:r>
          </w:p>
        </w:tc>
        <w:tc>
          <w:tcPr>
            <w:tcW w:w="1105" w:type="dxa"/>
            <w:vAlign w:val="center"/>
          </w:tcPr>
          <w:p>
            <w:pPr>
              <w:pStyle w:val="10"/>
              <w:jc w:val="center"/>
              <w:rPr>
                <w:rFonts w:ascii="Times New Roman" w:hAnsi="Times New Roman" w:eastAsia="仿宋" w:cs="Times New Roman"/>
                <w:b/>
                <w:bCs/>
                <w:sz w:val="24"/>
              </w:rPr>
            </w:pPr>
            <w:r>
              <w:rPr>
                <w:rFonts w:ascii="Times New Roman" w:hAnsi="Times New Roman" w:eastAsia="仿宋" w:cs="Times New Roman"/>
                <w:b/>
                <w:bCs/>
                <w:color w:val="000000"/>
                <w:kern w:val="0"/>
                <w:sz w:val="24"/>
              </w:rPr>
              <w:t>合计</w:t>
            </w:r>
          </w:p>
        </w:tc>
        <w:tc>
          <w:tcPr>
            <w:tcW w:w="1105" w:type="dxa"/>
            <w:vAlign w:val="center"/>
          </w:tcPr>
          <w:p>
            <w:pPr>
              <w:pStyle w:val="10"/>
              <w:jc w:val="center"/>
              <w:rPr>
                <w:rFonts w:ascii="Times New Roman" w:hAnsi="Times New Roman" w:eastAsia="仿宋" w:cs="Times New Roman"/>
                <w:b/>
                <w:bCs/>
                <w:sz w:val="24"/>
              </w:rPr>
            </w:pPr>
            <w:r>
              <w:rPr>
                <w:rFonts w:ascii="Times New Roman" w:hAnsi="Times New Roman" w:eastAsia="仿宋" w:cs="Times New Roman"/>
                <w:b/>
                <w:bCs/>
                <w:sz w:val="24"/>
              </w:rPr>
              <w:t>2023年</w:t>
            </w:r>
          </w:p>
        </w:tc>
        <w:tc>
          <w:tcPr>
            <w:tcW w:w="1105" w:type="dxa"/>
            <w:vAlign w:val="center"/>
          </w:tcPr>
          <w:p>
            <w:pPr>
              <w:pStyle w:val="10"/>
              <w:jc w:val="center"/>
              <w:rPr>
                <w:rFonts w:ascii="Times New Roman" w:hAnsi="Times New Roman" w:eastAsia="仿宋" w:cs="Times New Roman"/>
                <w:b/>
                <w:bCs/>
                <w:sz w:val="24"/>
              </w:rPr>
            </w:pPr>
            <w:r>
              <w:rPr>
                <w:rFonts w:ascii="Times New Roman" w:hAnsi="Times New Roman" w:eastAsia="仿宋" w:cs="Times New Roman"/>
                <w:b/>
                <w:bCs/>
                <w:sz w:val="24"/>
              </w:rPr>
              <w:t>2024年</w:t>
            </w:r>
          </w:p>
        </w:tc>
        <w:tc>
          <w:tcPr>
            <w:tcW w:w="1108" w:type="dxa"/>
            <w:vAlign w:val="center"/>
          </w:tcPr>
          <w:p>
            <w:pPr>
              <w:pStyle w:val="10"/>
              <w:jc w:val="center"/>
              <w:rPr>
                <w:rFonts w:ascii="Times New Roman" w:hAnsi="Times New Roman" w:eastAsia="仿宋" w:cs="Times New Roman"/>
                <w:b/>
                <w:bCs/>
                <w:sz w:val="24"/>
              </w:rPr>
            </w:pPr>
            <w:r>
              <w:rPr>
                <w:rFonts w:ascii="Times New Roman" w:hAnsi="Times New Roman" w:eastAsia="仿宋" w:cs="Times New Roman"/>
                <w:b/>
                <w:bCs/>
                <w:sz w:val="24"/>
              </w:rPr>
              <w:t>2025年</w:t>
            </w:r>
          </w:p>
        </w:tc>
        <w:tc>
          <w:tcPr>
            <w:tcW w:w="1077" w:type="dxa"/>
            <w:vAlign w:val="center"/>
          </w:tcPr>
          <w:p>
            <w:pPr>
              <w:pStyle w:val="10"/>
              <w:jc w:val="center"/>
              <w:rPr>
                <w:rFonts w:ascii="Times New Roman" w:hAnsi="Times New Roman" w:eastAsia="仿宋" w:cs="Times New Roman"/>
                <w:b/>
                <w:bCs/>
                <w:sz w:val="24"/>
              </w:rPr>
            </w:pPr>
            <w:r>
              <w:rPr>
                <w:rFonts w:ascii="Times New Roman" w:hAnsi="Times New Roman" w:eastAsia="仿宋" w:cs="Times New Roman"/>
                <w:b/>
                <w:bCs/>
                <w:color w:val="000000"/>
                <w:kern w:val="0"/>
                <w:sz w:val="24"/>
              </w:rPr>
              <w:t>合计</w:t>
            </w:r>
          </w:p>
        </w:tc>
        <w:tc>
          <w:tcPr>
            <w:tcW w:w="1077" w:type="dxa"/>
            <w:vAlign w:val="center"/>
          </w:tcPr>
          <w:p>
            <w:pPr>
              <w:pStyle w:val="10"/>
              <w:jc w:val="center"/>
              <w:rPr>
                <w:rFonts w:ascii="Times New Roman" w:hAnsi="Times New Roman" w:eastAsia="仿宋" w:cs="Times New Roman"/>
                <w:b/>
                <w:bCs/>
                <w:sz w:val="24"/>
              </w:rPr>
            </w:pPr>
            <w:r>
              <w:rPr>
                <w:rFonts w:ascii="Times New Roman" w:hAnsi="Times New Roman" w:eastAsia="仿宋" w:cs="Times New Roman"/>
                <w:b/>
                <w:bCs/>
                <w:sz w:val="24"/>
              </w:rPr>
              <w:t>2023年</w:t>
            </w:r>
          </w:p>
        </w:tc>
        <w:tc>
          <w:tcPr>
            <w:tcW w:w="1077" w:type="dxa"/>
            <w:vAlign w:val="center"/>
          </w:tcPr>
          <w:p>
            <w:pPr>
              <w:pStyle w:val="10"/>
              <w:jc w:val="center"/>
              <w:rPr>
                <w:rFonts w:ascii="Times New Roman" w:hAnsi="Times New Roman" w:eastAsia="仿宋" w:cs="Times New Roman"/>
                <w:b/>
                <w:bCs/>
                <w:sz w:val="24"/>
              </w:rPr>
            </w:pPr>
            <w:r>
              <w:rPr>
                <w:rFonts w:ascii="Times New Roman" w:hAnsi="Times New Roman" w:eastAsia="仿宋" w:cs="Times New Roman"/>
                <w:b/>
                <w:bCs/>
                <w:sz w:val="24"/>
              </w:rPr>
              <w:t>2024年</w:t>
            </w:r>
          </w:p>
        </w:tc>
        <w:tc>
          <w:tcPr>
            <w:tcW w:w="1077" w:type="dxa"/>
            <w:vAlign w:val="center"/>
          </w:tcPr>
          <w:p>
            <w:pPr>
              <w:pStyle w:val="10"/>
              <w:jc w:val="center"/>
              <w:rPr>
                <w:rFonts w:ascii="Times New Roman" w:hAnsi="Times New Roman" w:eastAsia="仿宋" w:cs="Times New Roman"/>
                <w:b/>
                <w:bCs/>
                <w:sz w:val="24"/>
              </w:rPr>
            </w:pPr>
            <w:r>
              <w:rPr>
                <w:rFonts w:ascii="Times New Roman" w:hAnsi="Times New Roman" w:eastAsia="仿宋" w:cs="Times New Roman"/>
                <w:b/>
                <w:bCs/>
                <w:sz w:val="24"/>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88" w:type="dxa"/>
            <w:vAlign w:val="center"/>
          </w:tcPr>
          <w:p>
            <w:pPr>
              <w:widowControl/>
              <w:spacing w:line="0" w:lineRule="atLeast"/>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合计</w:t>
            </w:r>
          </w:p>
        </w:tc>
        <w:tc>
          <w:tcPr>
            <w:tcW w:w="921"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200</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63</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66</w:t>
            </w:r>
          </w:p>
        </w:tc>
        <w:tc>
          <w:tcPr>
            <w:tcW w:w="1108"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71</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600</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200</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200</w:t>
            </w:r>
          </w:p>
        </w:tc>
        <w:tc>
          <w:tcPr>
            <w:tcW w:w="1108"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200</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3000</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1000</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1000</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88" w:type="dxa"/>
            <w:vAlign w:val="center"/>
          </w:tcPr>
          <w:p>
            <w:pPr>
              <w:widowControl/>
              <w:spacing w:line="0" w:lineRule="atLeast"/>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天元区</w:t>
            </w:r>
          </w:p>
        </w:tc>
        <w:tc>
          <w:tcPr>
            <w:tcW w:w="921"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35</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11</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12</w:t>
            </w:r>
          </w:p>
        </w:tc>
        <w:tc>
          <w:tcPr>
            <w:tcW w:w="1108"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12</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105</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35</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35</w:t>
            </w:r>
          </w:p>
        </w:tc>
        <w:tc>
          <w:tcPr>
            <w:tcW w:w="1108"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35</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525</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175</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175</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88" w:type="dxa"/>
            <w:vAlign w:val="center"/>
          </w:tcPr>
          <w:p>
            <w:pPr>
              <w:widowControl/>
              <w:spacing w:line="0" w:lineRule="atLeast"/>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石峰区</w:t>
            </w:r>
            <w:r>
              <w:rPr>
                <w:rFonts w:hint="eastAsia" w:ascii="Times New Roman" w:hAnsi="Times New Roman" w:eastAsia="仿宋" w:cs="Times New Roman"/>
                <w:color w:val="000000"/>
                <w:spacing w:val="-20"/>
                <w:kern w:val="0"/>
                <w:sz w:val="24"/>
              </w:rPr>
              <w:t>(含株洲经开区)</w:t>
            </w:r>
          </w:p>
        </w:tc>
        <w:tc>
          <w:tcPr>
            <w:tcW w:w="921"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35</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11</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12</w:t>
            </w:r>
          </w:p>
        </w:tc>
        <w:tc>
          <w:tcPr>
            <w:tcW w:w="1108"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12</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105</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35</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35</w:t>
            </w:r>
          </w:p>
        </w:tc>
        <w:tc>
          <w:tcPr>
            <w:tcW w:w="1108"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35</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525</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175</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175</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88" w:type="dxa"/>
            <w:vAlign w:val="center"/>
          </w:tcPr>
          <w:p>
            <w:pPr>
              <w:widowControl/>
              <w:spacing w:line="0" w:lineRule="atLeast"/>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芦淞区</w:t>
            </w:r>
          </w:p>
        </w:tc>
        <w:tc>
          <w:tcPr>
            <w:tcW w:w="921"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25</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8</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8</w:t>
            </w:r>
          </w:p>
        </w:tc>
        <w:tc>
          <w:tcPr>
            <w:tcW w:w="1108"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9</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75</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25</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25</w:t>
            </w:r>
          </w:p>
        </w:tc>
        <w:tc>
          <w:tcPr>
            <w:tcW w:w="1108"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25</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375</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125</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125</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88" w:type="dxa"/>
            <w:vAlign w:val="center"/>
          </w:tcPr>
          <w:p>
            <w:pPr>
              <w:widowControl/>
              <w:spacing w:line="0" w:lineRule="atLeast"/>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荷塘区</w:t>
            </w:r>
          </w:p>
        </w:tc>
        <w:tc>
          <w:tcPr>
            <w:tcW w:w="921"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25</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8</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8</w:t>
            </w:r>
          </w:p>
        </w:tc>
        <w:tc>
          <w:tcPr>
            <w:tcW w:w="1108"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9</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75</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25</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25</w:t>
            </w:r>
          </w:p>
        </w:tc>
        <w:tc>
          <w:tcPr>
            <w:tcW w:w="1108"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25</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375</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125</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125</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88" w:type="dxa"/>
            <w:vAlign w:val="center"/>
          </w:tcPr>
          <w:p>
            <w:pPr>
              <w:widowControl/>
              <w:spacing w:line="0" w:lineRule="atLeast"/>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渌口区</w:t>
            </w:r>
          </w:p>
        </w:tc>
        <w:tc>
          <w:tcPr>
            <w:tcW w:w="921"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15</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5</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5</w:t>
            </w:r>
          </w:p>
        </w:tc>
        <w:tc>
          <w:tcPr>
            <w:tcW w:w="1108"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5</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45</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15</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15</w:t>
            </w:r>
          </w:p>
        </w:tc>
        <w:tc>
          <w:tcPr>
            <w:tcW w:w="1108"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15</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225</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75</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75</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288" w:type="dxa"/>
            <w:vAlign w:val="center"/>
          </w:tcPr>
          <w:p>
            <w:pPr>
              <w:widowControl/>
              <w:spacing w:line="0" w:lineRule="atLeast"/>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醴陵市</w:t>
            </w:r>
          </w:p>
        </w:tc>
        <w:tc>
          <w:tcPr>
            <w:tcW w:w="921"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35</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11</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12</w:t>
            </w:r>
          </w:p>
        </w:tc>
        <w:tc>
          <w:tcPr>
            <w:tcW w:w="1108"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12</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105</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35</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35</w:t>
            </w:r>
          </w:p>
        </w:tc>
        <w:tc>
          <w:tcPr>
            <w:tcW w:w="1108"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35</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525</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175</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175</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288" w:type="dxa"/>
            <w:vAlign w:val="center"/>
          </w:tcPr>
          <w:p>
            <w:pPr>
              <w:widowControl/>
              <w:spacing w:line="0" w:lineRule="atLeast"/>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攸</w:t>
            </w:r>
            <w:r>
              <w:rPr>
                <w:rStyle w:val="12"/>
                <w:rFonts w:eastAsia="仿宋"/>
                <w:b w:val="0"/>
                <w:bCs w:val="0"/>
                <w:sz w:val="24"/>
                <w:szCs w:val="24"/>
              </w:rPr>
              <w:t xml:space="preserve">  </w:t>
            </w:r>
            <w:r>
              <w:rPr>
                <w:rStyle w:val="13"/>
                <w:rFonts w:hint="default" w:ascii="Times New Roman" w:hAnsi="Times New Roman" w:eastAsia="仿宋" w:cs="Times New Roman"/>
                <w:sz w:val="24"/>
                <w:szCs w:val="24"/>
              </w:rPr>
              <w:t>县</w:t>
            </w:r>
          </w:p>
        </w:tc>
        <w:tc>
          <w:tcPr>
            <w:tcW w:w="921"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10</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3</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3</w:t>
            </w:r>
          </w:p>
        </w:tc>
        <w:tc>
          <w:tcPr>
            <w:tcW w:w="1108"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4</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30</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10</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10</w:t>
            </w:r>
          </w:p>
        </w:tc>
        <w:tc>
          <w:tcPr>
            <w:tcW w:w="1108"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10</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150</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50</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50</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288" w:type="dxa"/>
            <w:vAlign w:val="center"/>
          </w:tcPr>
          <w:p>
            <w:pPr>
              <w:widowControl/>
              <w:spacing w:line="0" w:lineRule="atLeast"/>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茶陵县</w:t>
            </w:r>
          </w:p>
        </w:tc>
        <w:tc>
          <w:tcPr>
            <w:tcW w:w="921"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10</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3</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3</w:t>
            </w:r>
          </w:p>
        </w:tc>
        <w:tc>
          <w:tcPr>
            <w:tcW w:w="1108"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4</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30</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10</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10</w:t>
            </w:r>
          </w:p>
        </w:tc>
        <w:tc>
          <w:tcPr>
            <w:tcW w:w="1108"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10</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150</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50</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50</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88" w:type="dxa"/>
            <w:vAlign w:val="center"/>
          </w:tcPr>
          <w:p>
            <w:pPr>
              <w:widowControl/>
              <w:spacing w:line="0" w:lineRule="atLeast"/>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炎陵县</w:t>
            </w:r>
          </w:p>
        </w:tc>
        <w:tc>
          <w:tcPr>
            <w:tcW w:w="921"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10</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3</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3</w:t>
            </w:r>
          </w:p>
        </w:tc>
        <w:tc>
          <w:tcPr>
            <w:tcW w:w="1108"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4</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30</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10</w:t>
            </w:r>
          </w:p>
        </w:tc>
        <w:tc>
          <w:tcPr>
            <w:tcW w:w="11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10</w:t>
            </w:r>
          </w:p>
        </w:tc>
        <w:tc>
          <w:tcPr>
            <w:tcW w:w="1108"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10</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150</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50</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50</w:t>
            </w:r>
          </w:p>
        </w:tc>
        <w:tc>
          <w:tcPr>
            <w:tcW w:w="107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color w:val="000000"/>
                <w:kern w:val="0"/>
                <w:sz w:val="24"/>
              </w:rPr>
              <w:t>50</w:t>
            </w:r>
          </w:p>
        </w:tc>
      </w:tr>
    </w:tbl>
    <w:p>
      <w:pPr>
        <w:pStyle w:val="11"/>
        <w:rPr>
          <w:rFonts w:ascii="Times New Roman" w:hAnsi="Times New Roman" w:cs="Times New Roman"/>
        </w:rPr>
      </w:pPr>
    </w:p>
    <w:p>
      <w:pPr>
        <w:rPr>
          <w:rFonts w:ascii="Times New Roman" w:hAnsi="Times New Roman" w:cs="Times New Roman"/>
        </w:rPr>
        <w:sectPr>
          <w:pgSz w:w="16838" w:h="11906" w:orient="landscape"/>
          <w:pgMar w:top="1417" w:right="1587" w:bottom="1701" w:left="1247" w:header="964" w:footer="1247" w:gutter="0"/>
          <w:pgNumType w:fmt="numberInDash"/>
          <w:cols w:space="720" w:num="1"/>
          <w:docGrid w:type="lines" w:linePitch="312" w:charSpace="0"/>
        </w:sectPr>
      </w:pPr>
    </w:p>
    <w:p>
      <w:pPr>
        <w:jc w:val="left"/>
        <w:rPr>
          <w:rFonts w:ascii="Times New Roman" w:hAnsi="Times New Roman" w:eastAsia="黑体" w:cs="Times New Roman"/>
          <w:sz w:val="32"/>
          <w:szCs w:val="32"/>
        </w:rPr>
      </w:pPr>
      <w:r>
        <w:rPr>
          <w:rFonts w:ascii="Times New Roman" w:hAnsi="Times New Roman" w:eastAsia="黑体" w:cs="Times New Roman"/>
          <w:sz w:val="32"/>
          <w:szCs w:val="32"/>
        </w:rPr>
        <w:t>附件3</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重点工作任务分解表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450"/>
        <w:gridCol w:w="7501"/>
        <w:gridCol w:w="1905"/>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blHeader/>
        </w:trPr>
        <w:tc>
          <w:tcPr>
            <w:tcW w:w="1844" w:type="dxa"/>
            <w:vAlign w:val="center"/>
          </w:tcPr>
          <w:p>
            <w:pPr>
              <w:spacing w:line="300" w:lineRule="exact"/>
              <w:jc w:val="center"/>
              <w:rPr>
                <w:rFonts w:ascii="黑体" w:hAnsi="黑体" w:eastAsia="黑体" w:cs="黑体"/>
                <w:b/>
                <w:bCs/>
                <w:sz w:val="24"/>
              </w:rPr>
            </w:pPr>
            <w:r>
              <w:rPr>
                <w:rFonts w:hint="eastAsia" w:ascii="黑体" w:hAnsi="黑体" w:eastAsia="黑体" w:cs="黑体"/>
                <w:b/>
                <w:bCs/>
                <w:sz w:val="24"/>
              </w:rPr>
              <w:t>行动举措</w:t>
            </w:r>
          </w:p>
        </w:tc>
        <w:tc>
          <w:tcPr>
            <w:tcW w:w="450" w:type="dxa"/>
            <w:vAlign w:val="center"/>
          </w:tcPr>
          <w:p>
            <w:pPr>
              <w:spacing w:line="300" w:lineRule="exact"/>
              <w:jc w:val="center"/>
              <w:rPr>
                <w:rFonts w:ascii="黑体" w:hAnsi="黑体" w:eastAsia="黑体" w:cs="黑体"/>
                <w:b/>
                <w:bCs/>
                <w:sz w:val="24"/>
              </w:rPr>
            </w:pPr>
            <w:r>
              <w:rPr>
                <w:rFonts w:hint="eastAsia" w:ascii="黑体" w:hAnsi="黑体" w:eastAsia="黑体" w:cs="黑体"/>
                <w:b/>
                <w:bCs/>
                <w:sz w:val="24"/>
              </w:rPr>
              <w:t>序号</w:t>
            </w:r>
          </w:p>
        </w:tc>
        <w:tc>
          <w:tcPr>
            <w:tcW w:w="7501" w:type="dxa"/>
            <w:vAlign w:val="center"/>
          </w:tcPr>
          <w:p>
            <w:pPr>
              <w:spacing w:line="300" w:lineRule="exact"/>
              <w:jc w:val="center"/>
              <w:rPr>
                <w:rFonts w:ascii="黑体" w:hAnsi="黑体" w:eastAsia="黑体" w:cs="黑体"/>
                <w:b/>
                <w:bCs/>
                <w:sz w:val="24"/>
              </w:rPr>
            </w:pPr>
            <w:r>
              <w:rPr>
                <w:rFonts w:hint="eastAsia" w:ascii="黑体" w:hAnsi="黑体" w:eastAsia="黑体" w:cs="黑体"/>
                <w:b/>
                <w:bCs/>
                <w:sz w:val="24"/>
              </w:rPr>
              <w:t>工作任务</w:t>
            </w:r>
          </w:p>
        </w:tc>
        <w:tc>
          <w:tcPr>
            <w:tcW w:w="1905" w:type="dxa"/>
            <w:vAlign w:val="center"/>
          </w:tcPr>
          <w:p>
            <w:pPr>
              <w:spacing w:line="300" w:lineRule="exact"/>
              <w:jc w:val="center"/>
              <w:rPr>
                <w:rFonts w:ascii="黑体" w:hAnsi="黑体" w:eastAsia="黑体" w:cs="黑体"/>
                <w:b/>
                <w:bCs/>
                <w:sz w:val="24"/>
              </w:rPr>
            </w:pPr>
            <w:r>
              <w:rPr>
                <w:rFonts w:hint="eastAsia" w:ascii="黑体" w:hAnsi="黑体" w:eastAsia="黑体" w:cs="黑体"/>
                <w:b/>
                <w:bCs/>
                <w:sz w:val="24"/>
              </w:rPr>
              <w:t>牵头单位</w:t>
            </w:r>
          </w:p>
        </w:tc>
        <w:tc>
          <w:tcPr>
            <w:tcW w:w="2340" w:type="dxa"/>
            <w:vAlign w:val="center"/>
          </w:tcPr>
          <w:p>
            <w:pPr>
              <w:spacing w:line="300" w:lineRule="exact"/>
              <w:jc w:val="center"/>
              <w:rPr>
                <w:rFonts w:ascii="黑体" w:hAnsi="黑体" w:eastAsia="黑体" w:cs="黑体"/>
                <w:b/>
                <w:bCs/>
                <w:sz w:val="24"/>
              </w:rPr>
            </w:pPr>
            <w:r>
              <w:rPr>
                <w:rFonts w:hint="eastAsia" w:ascii="黑体" w:hAnsi="黑体" w:eastAsia="黑体" w:cs="黑体"/>
                <w:b/>
                <w:bCs/>
                <w:sz w:val="24"/>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040" w:type="dxa"/>
            <w:gridSpan w:val="5"/>
            <w:vAlign w:val="center"/>
          </w:tcPr>
          <w:p>
            <w:pPr>
              <w:spacing w:line="300" w:lineRule="exact"/>
              <w:jc w:val="left"/>
              <w:rPr>
                <w:rFonts w:ascii="Times New Roman" w:hAnsi="Times New Roman" w:eastAsia="楷体" w:cs="Times New Roman"/>
                <w:b/>
                <w:sz w:val="24"/>
              </w:rPr>
            </w:pPr>
            <w:r>
              <w:rPr>
                <w:rFonts w:hint="eastAsia" w:ascii="Times New Roman" w:hAnsi="Times New Roman" w:eastAsia="楷体" w:cs="Times New Roman"/>
                <w:b/>
                <w:sz w:val="24"/>
              </w:rPr>
              <w:t>一、</w:t>
            </w:r>
            <w:r>
              <w:rPr>
                <w:rFonts w:ascii="Times New Roman" w:hAnsi="Times New Roman" w:eastAsia="楷体" w:cs="Times New Roman"/>
                <w:b/>
                <w:sz w:val="24"/>
              </w:rPr>
              <w:t>强化底座支撑，提升新型基础设施建设水平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844" w:type="dxa"/>
            <w:vMerge w:val="restart"/>
            <w:vAlign w:val="center"/>
          </w:tcPr>
          <w:p>
            <w:pPr>
              <w:spacing w:line="300" w:lineRule="exact"/>
              <w:jc w:val="center"/>
              <w:rPr>
                <w:rFonts w:ascii="仿宋" w:hAnsi="仿宋" w:eastAsia="仿宋" w:cs="仿宋"/>
                <w:sz w:val="24"/>
              </w:rPr>
            </w:pPr>
            <w:r>
              <w:rPr>
                <w:rFonts w:ascii="Times New Roman" w:hAnsi="Times New Roman" w:eastAsia="楷体" w:cs="Times New Roman"/>
                <w:b/>
                <w:sz w:val="24"/>
              </w:rPr>
              <w:t>实施网络设施强基行动</w:t>
            </w:r>
          </w:p>
        </w:tc>
        <w:tc>
          <w:tcPr>
            <w:tcW w:w="450" w:type="dxa"/>
            <w:vAlign w:val="center"/>
          </w:tcPr>
          <w:p>
            <w:pPr>
              <w:numPr>
                <w:ilvl w:val="0"/>
                <w:numId w:val="1"/>
              </w:numPr>
              <w:spacing w:line="300" w:lineRule="exact"/>
              <w:jc w:val="center"/>
              <w:rPr>
                <w:rFonts w:ascii="仿宋" w:hAnsi="仿宋" w:eastAsia="仿宋" w:cs="仿宋"/>
                <w:sz w:val="24"/>
              </w:rPr>
            </w:pPr>
          </w:p>
        </w:tc>
        <w:tc>
          <w:tcPr>
            <w:tcW w:w="7501"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推动开展F5G+5G专网试点，探索5G专网建设运营模式。到2025年，新建5G基站3000个左右，每万人拥有5G基站数超过</w:t>
            </w:r>
            <w:r>
              <w:rPr>
                <w:rFonts w:hint="eastAsia" w:ascii="Times New Roman" w:hAnsi="Times New Roman" w:eastAsia="仿宋" w:cs="Times New Roman"/>
                <w:bCs/>
                <w:sz w:val="24"/>
              </w:rPr>
              <w:t>20</w:t>
            </w:r>
            <w:r>
              <w:rPr>
                <w:rFonts w:ascii="Times New Roman" w:hAnsi="Times New Roman" w:eastAsia="仿宋" w:cs="Times New Roman"/>
                <w:bCs/>
                <w:sz w:val="24"/>
              </w:rPr>
              <w:t>个。</w:t>
            </w:r>
          </w:p>
        </w:tc>
        <w:tc>
          <w:tcPr>
            <w:tcW w:w="1905"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株洲市通信发展管理办公室</w:t>
            </w:r>
          </w:p>
        </w:tc>
        <w:tc>
          <w:tcPr>
            <w:tcW w:w="2340"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中国电信株洲分公司、中国移动株洲分公司、中国联通株洲分公司</w:t>
            </w:r>
            <w:r>
              <w:rPr>
                <w:rFonts w:hint="eastAsia" w:ascii="Times New Roman" w:hAnsi="Times New Roman" w:eastAsia="仿宋" w:cs="Times New Roman"/>
                <w:bCs/>
                <w:sz w:val="24"/>
              </w:rPr>
              <w:t>、中国铁塔株洲分公司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844" w:type="dxa"/>
            <w:vMerge w:val="continue"/>
            <w:vAlign w:val="center"/>
          </w:tcPr>
          <w:p>
            <w:pPr>
              <w:spacing w:line="300" w:lineRule="exact"/>
              <w:jc w:val="center"/>
              <w:rPr>
                <w:rFonts w:ascii="仿宋" w:hAnsi="仿宋" w:eastAsia="仿宋" w:cs="仿宋"/>
                <w:sz w:val="24"/>
              </w:rPr>
            </w:pPr>
          </w:p>
        </w:tc>
        <w:tc>
          <w:tcPr>
            <w:tcW w:w="450" w:type="dxa"/>
            <w:vAlign w:val="center"/>
          </w:tcPr>
          <w:p>
            <w:pPr>
              <w:numPr>
                <w:ilvl w:val="0"/>
                <w:numId w:val="1"/>
              </w:numPr>
              <w:spacing w:line="300" w:lineRule="exact"/>
              <w:jc w:val="center"/>
              <w:rPr>
                <w:rFonts w:ascii="仿宋" w:hAnsi="仿宋" w:eastAsia="仿宋" w:cs="仿宋"/>
                <w:sz w:val="24"/>
              </w:rPr>
            </w:pPr>
          </w:p>
        </w:tc>
        <w:tc>
          <w:tcPr>
            <w:tcW w:w="7501"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加强与国内领先标识解析服务提供商的交流合作，引导建设和运营一批工业互联网标识解析二级节点平台，加快形成面向重点行业的规模化标识解析服务能力。</w:t>
            </w:r>
          </w:p>
        </w:tc>
        <w:tc>
          <w:tcPr>
            <w:tcW w:w="1905"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市工信局</w:t>
            </w:r>
          </w:p>
        </w:tc>
        <w:tc>
          <w:tcPr>
            <w:tcW w:w="2340"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中国电信株洲分公司、中国移动株洲分公司、中国联通株洲分公司</w:t>
            </w:r>
            <w:r>
              <w:rPr>
                <w:rFonts w:hint="eastAsia" w:ascii="Times New Roman" w:hAnsi="Times New Roman" w:eastAsia="仿宋" w:cs="Times New Roman"/>
                <w:bCs/>
                <w:sz w:val="24"/>
              </w:rPr>
              <w:t>、国投智城公司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844" w:type="dxa"/>
            <w:vMerge w:val="restart"/>
            <w:vAlign w:val="center"/>
          </w:tcPr>
          <w:p>
            <w:pPr>
              <w:spacing w:line="300" w:lineRule="exact"/>
              <w:jc w:val="center"/>
              <w:rPr>
                <w:rFonts w:ascii="仿宋" w:hAnsi="仿宋" w:eastAsia="仿宋" w:cs="仿宋"/>
                <w:sz w:val="24"/>
              </w:rPr>
            </w:pPr>
            <w:r>
              <w:rPr>
                <w:rFonts w:ascii="Times New Roman" w:hAnsi="Times New Roman" w:eastAsia="楷体" w:cs="Times New Roman"/>
                <w:b/>
                <w:sz w:val="24"/>
              </w:rPr>
              <w:t>实施先进算力提升行动</w:t>
            </w:r>
          </w:p>
        </w:tc>
        <w:tc>
          <w:tcPr>
            <w:tcW w:w="450" w:type="dxa"/>
            <w:vAlign w:val="center"/>
          </w:tcPr>
          <w:p>
            <w:pPr>
              <w:numPr>
                <w:ilvl w:val="0"/>
                <w:numId w:val="1"/>
              </w:numPr>
              <w:spacing w:line="300" w:lineRule="exact"/>
              <w:jc w:val="center"/>
              <w:rPr>
                <w:rFonts w:ascii="仿宋" w:hAnsi="仿宋" w:eastAsia="仿宋" w:cs="仿宋"/>
                <w:sz w:val="24"/>
              </w:rPr>
            </w:pPr>
          </w:p>
        </w:tc>
        <w:tc>
          <w:tcPr>
            <w:tcW w:w="7501"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持续推动润泽超算中心、湖南数据湖产业园数据中心、中国移动（湖南株洲）数据中心等重点发展的新型大数据中心加快建设。</w:t>
            </w:r>
          </w:p>
        </w:tc>
        <w:tc>
          <w:tcPr>
            <w:tcW w:w="1905"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株洲经开区</w:t>
            </w:r>
          </w:p>
        </w:tc>
        <w:tc>
          <w:tcPr>
            <w:tcW w:w="2340"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市发改委、市工信局、</w:t>
            </w:r>
            <w:r>
              <w:rPr>
                <w:rFonts w:ascii="Times New Roman" w:hAnsi="Times New Roman" w:eastAsia="仿宋" w:cs="Times New Roman"/>
                <w:bCs/>
                <w:sz w:val="24"/>
              </w:rPr>
              <w:t>中国移动株洲分公司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844" w:type="dxa"/>
            <w:vMerge w:val="continue"/>
            <w:vAlign w:val="center"/>
          </w:tcPr>
          <w:p>
            <w:pPr>
              <w:spacing w:line="300" w:lineRule="exact"/>
              <w:jc w:val="center"/>
              <w:rPr>
                <w:rFonts w:ascii="仿宋" w:hAnsi="仿宋" w:eastAsia="仿宋" w:cs="仿宋"/>
                <w:sz w:val="24"/>
              </w:rPr>
            </w:pPr>
          </w:p>
        </w:tc>
        <w:tc>
          <w:tcPr>
            <w:tcW w:w="450" w:type="dxa"/>
            <w:vAlign w:val="center"/>
          </w:tcPr>
          <w:p>
            <w:pPr>
              <w:numPr>
                <w:ilvl w:val="0"/>
                <w:numId w:val="1"/>
              </w:numPr>
              <w:spacing w:line="300" w:lineRule="exact"/>
              <w:jc w:val="center"/>
              <w:rPr>
                <w:rFonts w:ascii="仿宋" w:hAnsi="仿宋" w:eastAsia="仿宋" w:cs="仿宋"/>
                <w:sz w:val="24"/>
              </w:rPr>
            </w:pPr>
          </w:p>
        </w:tc>
        <w:tc>
          <w:tcPr>
            <w:tcW w:w="7501"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打造一批国省级数据中心和全市一体化大数据存储云平台。支持数据中心由存储型向计算型转变，重点推进工业互联网“数据入湖”工作。到2025年，全市大数据中心标准机架总数达</w:t>
            </w:r>
            <w:r>
              <w:rPr>
                <w:rFonts w:hint="eastAsia" w:ascii="Times New Roman" w:hAnsi="Times New Roman" w:eastAsia="仿宋" w:cs="Times New Roman"/>
                <w:bCs/>
                <w:sz w:val="24"/>
              </w:rPr>
              <w:t>1</w:t>
            </w:r>
            <w:r>
              <w:rPr>
                <w:rFonts w:ascii="Times New Roman" w:hAnsi="Times New Roman" w:eastAsia="仿宋" w:cs="Times New Roman"/>
                <w:bCs/>
                <w:sz w:val="24"/>
              </w:rPr>
              <w:t>万以上，总算力提升到80PFLOPS，能源效率争取优化至1.42左右。</w:t>
            </w:r>
          </w:p>
        </w:tc>
        <w:tc>
          <w:tcPr>
            <w:tcW w:w="1905"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市工信局</w:t>
            </w:r>
          </w:p>
        </w:tc>
        <w:tc>
          <w:tcPr>
            <w:tcW w:w="2340"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株洲市通信发展管理办公室、</w:t>
            </w:r>
            <w:r>
              <w:rPr>
                <w:rFonts w:ascii="Times New Roman" w:hAnsi="Times New Roman" w:eastAsia="仿宋" w:cs="Times New Roman"/>
                <w:bCs/>
                <w:sz w:val="24"/>
              </w:rPr>
              <w:t>中国电信株洲分公司、中国移动株洲分公司、中国联通株洲分公司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844" w:type="dxa"/>
            <w:vMerge w:val="restart"/>
            <w:tcBorders>
              <w:left w:val="single" w:color="auto" w:sz="4" w:space="0"/>
              <w:bottom w:val="single" w:color="auto" w:sz="4" w:space="0"/>
            </w:tcBorders>
            <w:vAlign w:val="center"/>
          </w:tcPr>
          <w:p>
            <w:pPr>
              <w:spacing w:line="300" w:lineRule="exact"/>
              <w:jc w:val="center"/>
              <w:rPr>
                <w:rFonts w:ascii="仿宋" w:hAnsi="仿宋" w:eastAsia="仿宋" w:cs="仿宋"/>
                <w:sz w:val="24"/>
              </w:rPr>
            </w:pPr>
            <w:r>
              <w:rPr>
                <w:rFonts w:ascii="Times New Roman" w:hAnsi="Times New Roman" w:eastAsia="楷体" w:cs="Times New Roman"/>
                <w:b/>
                <w:sz w:val="24"/>
              </w:rPr>
              <w:t>实施关键技术攻关行动</w:t>
            </w:r>
          </w:p>
        </w:tc>
        <w:tc>
          <w:tcPr>
            <w:tcW w:w="450" w:type="dxa"/>
            <w:tcBorders>
              <w:bottom w:val="single" w:color="auto" w:sz="4" w:space="0"/>
            </w:tcBorders>
            <w:vAlign w:val="center"/>
          </w:tcPr>
          <w:p>
            <w:pPr>
              <w:numPr>
                <w:ilvl w:val="0"/>
                <w:numId w:val="1"/>
              </w:numPr>
              <w:spacing w:line="300" w:lineRule="exact"/>
              <w:jc w:val="center"/>
              <w:rPr>
                <w:rFonts w:ascii="仿宋" w:hAnsi="仿宋" w:eastAsia="仿宋" w:cs="仿宋"/>
                <w:sz w:val="24"/>
              </w:rPr>
            </w:pPr>
          </w:p>
        </w:tc>
        <w:tc>
          <w:tcPr>
            <w:tcW w:w="7501" w:type="dxa"/>
            <w:tcBorders>
              <w:bottom w:val="single" w:color="auto" w:sz="4" w:space="0"/>
            </w:tcBorders>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支持行业龙头企业联合高校、科研院所</w:t>
            </w:r>
            <w:r>
              <w:rPr>
                <w:rFonts w:hint="eastAsia" w:ascii="Times New Roman" w:hAnsi="Times New Roman" w:eastAsia="仿宋" w:cs="Times New Roman"/>
                <w:bCs/>
                <w:sz w:val="24"/>
              </w:rPr>
              <w:t>等</w:t>
            </w:r>
            <w:r>
              <w:rPr>
                <w:rFonts w:ascii="Times New Roman" w:hAnsi="Times New Roman" w:eastAsia="仿宋" w:cs="Times New Roman"/>
                <w:bCs/>
                <w:sz w:val="24"/>
              </w:rPr>
              <w:t>建设一批制造业创新载体，加大新一代半导体、先进高分子材料、IGZO靶材、国产计算机多路服务器、智能传感器等</w:t>
            </w:r>
            <w:r>
              <w:rPr>
                <w:rFonts w:hint="eastAsia" w:ascii="Times New Roman" w:hAnsi="Times New Roman" w:eastAsia="仿宋" w:cs="Times New Roman"/>
                <w:bCs/>
                <w:sz w:val="24"/>
              </w:rPr>
              <w:t>关键</w:t>
            </w:r>
            <w:r>
              <w:rPr>
                <w:rFonts w:ascii="Times New Roman" w:hAnsi="Times New Roman" w:eastAsia="仿宋" w:cs="Times New Roman"/>
                <w:bCs/>
                <w:sz w:val="24"/>
              </w:rPr>
              <w:t>技术攻关力度。重点支持轨道交通制造业创新中心、中车株洲所等创新主体建设。</w:t>
            </w:r>
          </w:p>
        </w:tc>
        <w:tc>
          <w:tcPr>
            <w:tcW w:w="1905" w:type="dxa"/>
            <w:tcBorders>
              <w:bottom w:val="single" w:color="auto" w:sz="4" w:space="0"/>
            </w:tcBorders>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市科技局</w:t>
            </w:r>
          </w:p>
        </w:tc>
        <w:tc>
          <w:tcPr>
            <w:tcW w:w="2340" w:type="dxa"/>
            <w:tcBorders>
              <w:bottom w:val="single" w:color="auto" w:sz="4" w:space="0"/>
              <w:right w:val="single" w:color="auto" w:sz="4" w:space="0"/>
            </w:tcBorders>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市发改委</w:t>
            </w:r>
            <w:r>
              <w:rPr>
                <w:rFonts w:ascii="Times New Roman" w:hAnsi="Times New Roman" w:eastAsia="仿宋" w:cs="Times New Roman"/>
                <w:bCs/>
                <w:sz w:val="24"/>
              </w:rPr>
              <w:t>、</w:t>
            </w:r>
            <w:r>
              <w:rPr>
                <w:rFonts w:hint="eastAsia" w:ascii="Times New Roman" w:hAnsi="Times New Roman" w:eastAsia="仿宋" w:cs="Times New Roman"/>
                <w:bCs/>
                <w:sz w:val="24"/>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1844" w:type="dxa"/>
            <w:vMerge w:val="continue"/>
            <w:tcBorders>
              <w:top w:val="single" w:color="auto" w:sz="4" w:space="0"/>
              <w:left w:val="single" w:color="auto" w:sz="4" w:space="0"/>
              <w:bottom w:val="single" w:color="auto" w:sz="4" w:space="0"/>
            </w:tcBorders>
            <w:vAlign w:val="center"/>
          </w:tcPr>
          <w:p>
            <w:pPr>
              <w:spacing w:line="300" w:lineRule="exact"/>
              <w:jc w:val="center"/>
              <w:rPr>
                <w:rFonts w:ascii="仿宋" w:hAnsi="仿宋" w:eastAsia="仿宋" w:cs="仿宋"/>
                <w:sz w:val="24"/>
              </w:rPr>
            </w:pPr>
          </w:p>
        </w:tc>
        <w:tc>
          <w:tcPr>
            <w:tcW w:w="450" w:type="dxa"/>
            <w:tcBorders>
              <w:top w:val="single" w:color="auto" w:sz="4" w:space="0"/>
              <w:bottom w:val="single" w:color="auto" w:sz="4" w:space="0"/>
            </w:tcBorders>
            <w:vAlign w:val="center"/>
          </w:tcPr>
          <w:p>
            <w:pPr>
              <w:numPr>
                <w:ilvl w:val="0"/>
                <w:numId w:val="1"/>
              </w:numPr>
              <w:spacing w:line="300" w:lineRule="exact"/>
              <w:jc w:val="center"/>
              <w:rPr>
                <w:rFonts w:ascii="仿宋" w:hAnsi="仿宋" w:eastAsia="仿宋" w:cs="仿宋"/>
                <w:sz w:val="24"/>
              </w:rPr>
            </w:pPr>
          </w:p>
        </w:tc>
        <w:tc>
          <w:tcPr>
            <w:tcW w:w="7501" w:type="dxa"/>
            <w:tcBorders>
              <w:top w:val="single" w:color="auto" w:sz="4" w:space="0"/>
              <w:bottom w:val="single" w:color="auto" w:sz="4" w:space="0"/>
            </w:tcBorders>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支持中车株机、中车株洲所、株齿等企业技术外溢，联合时代软件、精益传动等具有核心技术的软件企业以及湖南工业大学等实力院校，开发一批面向特定工业场景和特定行业的自主可控工业软件。</w:t>
            </w:r>
          </w:p>
        </w:tc>
        <w:tc>
          <w:tcPr>
            <w:tcW w:w="1905" w:type="dxa"/>
            <w:tcBorders>
              <w:top w:val="single" w:color="auto" w:sz="4" w:space="0"/>
              <w:bottom w:val="single" w:color="auto" w:sz="4" w:space="0"/>
            </w:tcBorders>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市工信局</w:t>
            </w:r>
          </w:p>
        </w:tc>
        <w:tc>
          <w:tcPr>
            <w:tcW w:w="2340" w:type="dxa"/>
            <w:tcBorders>
              <w:top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市发改委</w:t>
            </w:r>
            <w:r>
              <w:rPr>
                <w:rFonts w:ascii="Times New Roman" w:hAnsi="Times New Roman" w:eastAsia="仿宋" w:cs="Times New Roman"/>
                <w:bCs/>
                <w:sz w:val="24"/>
              </w:rPr>
              <w:t>、市科技局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4040" w:type="dxa"/>
            <w:gridSpan w:val="5"/>
            <w:tcBorders>
              <w:top w:val="single" w:color="auto" w:sz="4" w:space="0"/>
            </w:tcBorders>
            <w:vAlign w:val="center"/>
          </w:tcPr>
          <w:p>
            <w:pPr>
              <w:tabs>
                <w:tab w:val="left" w:pos="420"/>
              </w:tabs>
              <w:spacing w:line="300" w:lineRule="exact"/>
              <w:rPr>
                <w:rFonts w:ascii="Times New Roman" w:hAnsi="Times New Roman" w:eastAsia="仿宋" w:cs="Times New Roman"/>
                <w:bCs/>
                <w:sz w:val="24"/>
              </w:rPr>
            </w:pPr>
            <w:r>
              <w:rPr>
                <w:rFonts w:hint="eastAsia" w:ascii="Times New Roman" w:hAnsi="Times New Roman" w:eastAsia="楷体" w:cs="Times New Roman"/>
                <w:b/>
                <w:sz w:val="24"/>
              </w:rPr>
              <w:t>二、</w:t>
            </w:r>
            <w:r>
              <w:rPr>
                <w:rFonts w:ascii="Times New Roman" w:hAnsi="Times New Roman" w:eastAsia="楷体" w:cs="Times New Roman"/>
                <w:b/>
                <w:sz w:val="24"/>
              </w:rPr>
              <w:t>强化供给能力，健全“智赋千企”服务生态体系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1844" w:type="dxa"/>
            <w:vMerge w:val="restart"/>
            <w:vAlign w:val="center"/>
          </w:tcPr>
          <w:p>
            <w:pPr>
              <w:spacing w:line="300" w:lineRule="exact"/>
              <w:jc w:val="center"/>
              <w:rPr>
                <w:rFonts w:ascii="仿宋" w:hAnsi="仿宋" w:eastAsia="仿宋" w:cs="仿宋"/>
                <w:sz w:val="24"/>
              </w:rPr>
            </w:pPr>
            <w:r>
              <w:rPr>
                <w:rFonts w:ascii="Times New Roman" w:hAnsi="Times New Roman" w:eastAsia="楷体" w:cs="Times New Roman"/>
                <w:b/>
                <w:sz w:val="24"/>
              </w:rPr>
              <w:t>实施工业互联网培育行动</w:t>
            </w:r>
          </w:p>
        </w:tc>
        <w:tc>
          <w:tcPr>
            <w:tcW w:w="450" w:type="dxa"/>
            <w:vAlign w:val="center"/>
          </w:tcPr>
          <w:p>
            <w:pPr>
              <w:numPr>
                <w:ilvl w:val="0"/>
                <w:numId w:val="1"/>
              </w:numPr>
              <w:spacing w:line="300" w:lineRule="exact"/>
              <w:jc w:val="center"/>
              <w:rPr>
                <w:rFonts w:ascii="仿宋" w:hAnsi="仿宋" w:eastAsia="仿宋" w:cs="仿宋"/>
                <w:sz w:val="24"/>
              </w:rPr>
            </w:pPr>
          </w:p>
        </w:tc>
        <w:tc>
          <w:tcPr>
            <w:tcW w:w="7501"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积极拓展天元工业互联网公共服务平台等跨行业跨领域平台的推广应用</w:t>
            </w:r>
            <w:r>
              <w:rPr>
                <w:rFonts w:hint="eastAsia" w:ascii="Times New Roman" w:hAnsi="Times New Roman" w:eastAsia="仿宋" w:cs="Times New Roman"/>
                <w:bCs/>
                <w:sz w:val="24"/>
              </w:rPr>
              <w:t>，</w:t>
            </w:r>
            <w:r>
              <w:rPr>
                <w:rFonts w:ascii="Times New Roman" w:hAnsi="Times New Roman" w:eastAsia="仿宋" w:cs="Times New Roman"/>
                <w:bCs/>
                <w:sz w:val="24"/>
              </w:rPr>
              <w:t>发挥烧结云、风电云等省级工业互联网平台标杆示范作用</w:t>
            </w:r>
            <w:r>
              <w:rPr>
                <w:rFonts w:hint="eastAsia" w:ascii="Times New Roman" w:hAnsi="Times New Roman" w:eastAsia="仿宋" w:cs="Times New Roman"/>
                <w:bCs/>
                <w:sz w:val="24"/>
              </w:rPr>
              <w:t>，建设一批</w:t>
            </w:r>
            <w:r>
              <w:rPr>
                <w:rFonts w:ascii="Times New Roman" w:hAnsi="Times New Roman" w:eastAsia="仿宋" w:cs="Times New Roman"/>
                <w:bCs/>
                <w:sz w:val="24"/>
              </w:rPr>
              <w:t>企业级工业互联网平台，加快建设推广株齿云、智轨运维云、思伯陶瓷云等国省级行业工业互联网平台</w:t>
            </w:r>
            <w:r>
              <w:rPr>
                <w:rFonts w:hint="eastAsia" w:ascii="Times New Roman" w:hAnsi="Times New Roman" w:eastAsia="仿宋" w:cs="Times New Roman"/>
                <w:bCs/>
                <w:sz w:val="24"/>
              </w:rPr>
              <w:t>，</w:t>
            </w:r>
            <w:r>
              <w:rPr>
                <w:rFonts w:ascii="Times New Roman" w:hAnsi="Times New Roman" w:eastAsia="仿宋" w:cs="Times New Roman"/>
                <w:bCs/>
                <w:sz w:val="24"/>
              </w:rPr>
              <w:t>以“链主牵头、全链参与”方式培育一批行业特色型工业互联网平台</w:t>
            </w:r>
            <w:r>
              <w:rPr>
                <w:rFonts w:hint="eastAsia" w:ascii="Times New Roman" w:hAnsi="Times New Roman" w:eastAsia="仿宋" w:cs="Times New Roman"/>
                <w:bCs/>
                <w:sz w:val="24"/>
              </w:rPr>
              <w:t>。</w:t>
            </w:r>
            <w:r>
              <w:rPr>
                <w:rFonts w:ascii="Times New Roman" w:hAnsi="Times New Roman" w:eastAsia="仿宋" w:cs="Times New Roman"/>
                <w:bCs/>
                <w:sz w:val="24"/>
              </w:rPr>
              <w:t>到2025年，创建20家左右省级工业互联网平台，力争培育1家国家级“双跨”工业互联网平台。</w:t>
            </w:r>
          </w:p>
        </w:tc>
        <w:tc>
          <w:tcPr>
            <w:tcW w:w="1905"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市工信局</w:t>
            </w:r>
          </w:p>
        </w:tc>
        <w:tc>
          <w:tcPr>
            <w:tcW w:w="2340"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市发改委</w:t>
            </w:r>
            <w:r>
              <w:rPr>
                <w:rFonts w:ascii="Times New Roman" w:hAnsi="Times New Roman" w:eastAsia="仿宋" w:cs="Times New Roman"/>
                <w:bCs/>
                <w:sz w:val="24"/>
              </w:rPr>
              <w:t>、</w:t>
            </w:r>
            <w:r>
              <w:rPr>
                <w:rFonts w:hint="eastAsia" w:ascii="Times New Roman" w:hAnsi="Times New Roman" w:eastAsia="仿宋" w:cs="Times New Roman"/>
                <w:bCs/>
                <w:color w:val="000000" w:themeColor="text1"/>
                <w:sz w:val="24"/>
              </w:rPr>
              <w:t>各县市区</w:t>
            </w:r>
            <w:r>
              <w:rPr>
                <w:rFonts w:hint="eastAsia" w:ascii="Times New Roman" w:hAnsi="Times New Roman" w:eastAsia="仿宋" w:cs="Times New Roman"/>
                <w:bCs/>
                <w:sz w:val="24"/>
              </w:rPr>
              <w:t>、相关园区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844" w:type="dxa"/>
            <w:vMerge w:val="continue"/>
            <w:vAlign w:val="center"/>
          </w:tcPr>
          <w:p>
            <w:pPr>
              <w:spacing w:line="300" w:lineRule="exact"/>
              <w:jc w:val="center"/>
              <w:rPr>
                <w:rFonts w:ascii="仿宋" w:hAnsi="仿宋" w:eastAsia="仿宋" w:cs="仿宋"/>
                <w:sz w:val="24"/>
              </w:rPr>
            </w:pPr>
          </w:p>
        </w:tc>
        <w:tc>
          <w:tcPr>
            <w:tcW w:w="450" w:type="dxa"/>
            <w:vAlign w:val="center"/>
          </w:tcPr>
          <w:p>
            <w:pPr>
              <w:numPr>
                <w:ilvl w:val="0"/>
                <w:numId w:val="1"/>
              </w:numPr>
              <w:spacing w:line="300" w:lineRule="exact"/>
              <w:jc w:val="center"/>
              <w:rPr>
                <w:rFonts w:ascii="仿宋" w:hAnsi="仿宋" w:eastAsia="仿宋" w:cs="仿宋"/>
                <w:sz w:val="24"/>
              </w:rPr>
            </w:pPr>
          </w:p>
        </w:tc>
        <w:tc>
          <w:tcPr>
            <w:tcW w:w="7501"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积极引进或依托国家跨行业跨领域工业互联网平台龙头企业，加快推动中国联通工业互联网研究院落户株洲。</w:t>
            </w:r>
          </w:p>
        </w:tc>
        <w:tc>
          <w:tcPr>
            <w:tcW w:w="1905"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市商务局</w:t>
            </w:r>
          </w:p>
        </w:tc>
        <w:tc>
          <w:tcPr>
            <w:tcW w:w="2340"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市工信局、</w:t>
            </w:r>
            <w:r>
              <w:rPr>
                <w:rFonts w:ascii="Times New Roman" w:hAnsi="Times New Roman" w:eastAsia="仿宋" w:cs="Times New Roman"/>
                <w:bCs/>
                <w:sz w:val="24"/>
              </w:rPr>
              <w:t>中国联通株洲分公司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844" w:type="dxa"/>
            <w:vMerge w:val="restart"/>
            <w:vAlign w:val="center"/>
          </w:tcPr>
          <w:p>
            <w:pPr>
              <w:spacing w:line="300" w:lineRule="exact"/>
              <w:jc w:val="center"/>
              <w:rPr>
                <w:rFonts w:ascii="仿宋" w:hAnsi="仿宋" w:eastAsia="仿宋" w:cs="仿宋"/>
                <w:sz w:val="24"/>
              </w:rPr>
            </w:pPr>
            <w:r>
              <w:rPr>
                <w:rFonts w:ascii="Times New Roman" w:hAnsi="Times New Roman" w:eastAsia="楷体" w:cs="Times New Roman"/>
                <w:b/>
                <w:sz w:val="24"/>
              </w:rPr>
              <w:t>实施服务体系支撑行动</w:t>
            </w:r>
          </w:p>
        </w:tc>
        <w:tc>
          <w:tcPr>
            <w:tcW w:w="450" w:type="dxa"/>
            <w:vAlign w:val="center"/>
          </w:tcPr>
          <w:p>
            <w:pPr>
              <w:numPr>
                <w:ilvl w:val="0"/>
                <w:numId w:val="1"/>
              </w:numPr>
              <w:spacing w:line="300" w:lineRule="exact"/>
              <w:jc w:val="center"/>
              <w:rPr>
                <w:rFonts w:ascii="仿宋" w:hAnsi="仿宋" w:eastAsia="仿宋" w:cs="仿宋"/>
                <w:sz w:val="24"/>
              </w:rPr>
            </w:pPr>
          </w:p>
        </w:tc>
        <w:tc>
          <w:tcPr>
            <w:tcW w:w="7501"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积极引进或依托龙头企业、重点高校、科研院所联合组建数字化转型公共服务平台和数字化转型服务商</w:t>
            </w:r>
            <w:r>
              <w:rPr>
                <w:rFonts w:hint="eastAsia" w:ascii="Times New Roman" w:hAnsi="Times New Roman" w:eastAsia="仿宋" w:cs="Times New Roman"/>
                <w:bCs/>
                <w:sz w:val="24"/>
              </w:rPr>
              <w:t>，</w:t>
            </w:r>
            <w:r>
              <w:rPr>
                <w:rFonts w:ascii="Times New Roman" w:hAnsi="Times New Roman" w:eastAsia="仿宋" w:cs="Times New Roman"/>
                <w:bCs/>
                <w:sz w:val="24"/>
              </w:rPr>
              <w:t>评选一批优秀数字化转型服务商。高规格建设具有株洲特色亮点的数字化展览展示馆。充分发挥智能制造专家委员会智库和智能制造标杆示范作用，定期举办智能制造专家诊断行、标杆游学行等品牌活动。</w:t>
            </w:r>
          </w:p>
        </w:tc>
        <w:tc>
          <w:tcPr>
            <w:tcW w:w="1905"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市工信局</w:t>
            </w:r>
          </w:p>
        </w:tc>
        <w:tc>
          <w:tcPr>
            <w:tcW w:w="2340"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市科技局、</w:t>
            </w:r>
            <w:r>
              <w:rPr>
                <w:rFonts w:hint="eastAsia" w:ascii="Times New Roman" w:hAnsi="Times New Roman" w:eastAsia="仿宋" w:cs="Times New Roman"/>
                <w:bCs/>
                <w:sz w:val="24"/>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844" w:type="dxa"/>
            <w:vMerge w:val="continue"/>
            <w:vAlign w:val="center"/>
          </w:tcPr>
          <w:p>
            <w:pPr>
              <w:spacing w:line="300" w:lineRule="exact"/>
              <w:jc w:val="center"/>
              <w:rPr>
                <w:rFonts w:ascii="仿宋" w:hAnsi="仿宋" w:eastAsia="仿宋" w:cs="仿宋"/>
                <w:sz w:val="24"/>
              </w:rPr>
            </w:pPr>
          </w:p>
        </w:tc>
        <w:tc>
          <w:tcPr>
            <w:tcW w:w="450" w:type="dxa"/>
            <w:vAlign w:val="center"/>
          </w:tcPr>
          <w:p>
            <w:pPr>
              <w:numPr>
                <w:ilvl w:val="0"/>
                <w:numId w:val="1"/>
              </w:numPr>
              <w:spacing w:line="300" w:lineRule="exact"/>
              <w:jc w:val="center"/>
              <w:rPr>
                <w:rFonts w:ascii="仿宋" w:hAnsi="仿宋" w:eastAsia="仿宋" w:cs="仿宋"/>
                <w:sz w:val="24"/>
              </w:rPr>
            </w:pPr>
          </w:p>
        </w:tc>
        <w:tc>
          <w:tcPr>
            <w:tcW w:w="7501"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高水平举办全国工业APP和信息消费大赛、轨博会、航博会、陶博会等展会活动。</w:t>
            </w:r>
          </w:p>
        </w:tc>
        <w:tc>
          <w:tcPr>
            <w:tcW w:w="1905"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市工信局、</w:t>
            </w:r>
            <w:r>
              <w:rPr>
                <w:rFonts w:ascii="Times New Roman" w:hAnsi="Times New Roman" w:eastAsia="仿宋" w:cs="Times New Roman"/>
                <w:bCs/>
                <w:sz w:val="24"/>
              </w:rPr>
              <w:t>市贸促会</w:t>
            </w:r>
          </w:p>
        </w:tc>
        <w:tc>
          <w:tcPr>
            <w:tcW w:w="2340"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市科技局、</w:t>
            </w:r>
            <w:r>
              <w:rPr>
                <w:rFonts w:hint="eastAsia" w:ascii="Times New Roman" w:hAnsi="Times New Roman" w:eastAsia="仿宋" w:cs="Times New Roman"/>
                <w:bCs/>
                <w:sz w:val="24"/>
              </w:rPr>
              <w:t>相关县市区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44" w:type="dxa"/>
            <w:vMerge w:val="restart"/>
            <w:vAlign w:val="center"/>
          </w:tcPr>
          <w:p>
            <w:pPr>
              <w:spacing w:line="300" w:lineRule="exact"/>
              <w:jc w:val="center"/>
              <w:rPr>
                <w:rFonts w:ascii="Times New Roman" w:hAnsi="Times New Roman" w:eastAsia="楷体" w:cs="Times New Roman"/>
                <w:b/>
                <w:bCs/>
                <w:sz w:val="32"/>
                <w:szCs w:val="32"/>
              </w:rPr>
            </w:pPr>
            <w:r>
              <w:rPr>
                <w:rFonts w:hint="eastAsia" w:ascii="Times New Roman" w:hAnsi="Times New Roman" w:eastAsia="楷体" w:cs="Times New Roman"/>
                <w:b/>
                <w:sz w:val="24"/>
              </w:rPr>
              <w:t>实施要素保障强化行动</w:t>
            </w:r>
          </w:p>
        </w:tc>
        <w:tc>
          <w:tcPr>
            <w:tcW w:w="450" w:type="dxa"/>
            <w:vAlign w:val="center"/>
          </w:tcPr>
          <w:p>
            <w:pPr>
              <w:numPr>
                <w:ilvl w:val="0"/>
                <w:numId w:val="1"/>
              </w:numPr>
              <w:spacing w:line="300" w:lineRule="exact"/>
              <w:jc w:val="center"/>
              <w:rPr>
                <w:rFonts w:ascii="仿宋" w:hAnsi="仿宋" w:eastAsia="仿宋" w:cs="仿宋"/>
                <w:sz w:val="24"/>
              </w:rPr>
            </w:pPr>
          </w:p>
        </w:tc>
        <w:tc>
          <w:tcPr>
            <w:tcW w:w="7501"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每年统筹安排一定资金用于支持“智赋千企”专项行动，重点支持新一代信息技术基础设施项目建设、两化融合贯标和数字化转型标杆企业培育、数字化转型优秀服务商评选等。鼓励有条件的县市区给予财政配套支持，降低中小企业数字化转型门槛。</w:t>
            </w:r>
          </w:p>
        </w:tc>
        <w:tc>
          <w:tcPr>
            <w:tcW w:w="1905"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市财政局</w:t>
            </w:r>
          </w:p>
        </w:tc>
        <w:tc>
          <w:tcPr>
            <w:tcW w:w="2340"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市工信局、各县市区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44" w:type="dxa"/>
            <w:vMerge w:val="continue"/>
            <w:vAlign w:val="center"/>
          </w:tcPr>
          <w:p>
            <w:pPr>
              <w:spacing w:line="300" w:lineRule="exact"/>
              <w:jc w:val="center"/>
              <w:rPr>
                <w:rFonts w:ascii="Times New Roman" w:hAnsi="Times New Roman" w:eastAsia="楷体" w:cs="Times New Roman"/>
                <w:b/>
                <w:bCs/>
                <w:sz w:val="32"/>
                <w:szCs w:val="32"/>
              </w:rPr>
            </w:pPr>
          </w:p>
        </w:tc>
        <w:tc>
          <w:tcPr>
            <w:tcW w:w="450" w:type="dxa"/>
            <w:vAlign w:val="center"/>
          </w:tcPr>
          <w:p>
            <w:pPr>
              <w:numPr>
                <w:ilvl w:val="0"/>
                <w:numId w:val="1"/>
              </w:numPr>
              <w:spacing w:line="300" w:lineRule="exact"/>
              <w:jc w:val="center"/>
              <w:rPr>
                <w:rFonts w:ascii="仿宋" w:hAnsi="仿宋" w:eastAsia="仿宋" w:cs="仿宋"/>
                <w:sz w:val="24"/>
              </w:rPr>
            </w:pPr>
          </w:p>
        </w:tc>
        <w:tc>
          <w:tcPr>
            <w:tcW w:w="7501"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落实“新人才30条”，积极引进数字化领域高端人才、团队。在职称评审、高层次人才认定等人才评价工作中给予重点支持。引导职业院校开设新一代信息技术领域职业教育课程，鼓励院校与本地企业共建一批现代产业学院、联合实验室、实习基地等。</w:t>
            </w:r>
          </w:p>
        </w:tc>
        <w:tc>
          <w:tcPr>
            <w:tcW w:w="1905"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市教育局</w:t>
            </w:r>
            <w:r>
              <w:rPr>
                <w:rFonts w:hint="eastAsia" w:ascii="Times New Roman" w:hAnsi="Times New Roman" w:eastAsia="仿宋" w:cs="Times New Roman"/>
                <w:bCs/>
                <w:sz w:val="24"/>
              </w:rPr>
              <w:t>、</w:t>
            </w:r>
            <w:r>
              <w:rPr>
                <w:rFonts w:ascii="Times New Roman" w:hAnsi="Times New Roman" w:eastAsia="仿宋" w:cs="Times New Roman"/>
                <w:bCs/>
                <w:sz w:val="24"/>
              </w:rPr>
              <w:t>市人社局</w:t>
            </w:r>
          </w:p>
        </w:tc>
        <w:tc>
          <w:tcPr>
            <w:tcW w:w="2340"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市工信局、</w:t>
            </w:r>
            <w:r>
              <w:rPr>
                <w:rFonts w:ascii="Times New Roman" w:hAnsi="Times New Roman" w:eastAsia="仿宋" w:cs="Times New Roman"/>
                <w:bCs/>
                <w:sz w:val="24"/>
              </w:rPr>
              <w:t>株洲职教园办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44" w:type="dxa"/>
            <w:vMerge w:val="continue"/>
            <w:vAlign w:val="center"/>
          </w:tcPr>
          <w:p>
            <w:pPr>
              <w:spacing w:line="300" w:lineRule="exact"/>
              <w:jc w:val="center"/>
              <w:rPr>
                <w:rFonts w:ascii="Times New Roman" w:hAnsi="Times New Roman" w:eastAsia="楷体" w:cs="Times New Roman"/>
                <w:b/>
                <w:bCs/>
                <w:sz w:val="32"/>
                <w:szCs w:val="32"/>
              </w:rPr>
            </w:pPr>
          </w:p>
        </w:tc>
        <w:tc>
          <w:tcPr>
            <w:tcW w:w="450" w:type="dxa"/>
            <w:vAlign w:val="center"/>
          </w:tcPr>
          <w:p>
            <w:pPr>
              <w:numPr>
                <w:ilvl w:val="0"/>
                <w:numId w:val="1"/>
              </w:numPr>
              <w:spacing w:line="300" w:lineRule="exact"/>
              <w:jc w:val="center"/>
              <w:rPr>
                <w:rFonts w:ascii="仿宋" w:hAnsi="仿宋" w:eastAsia="仿宋" w:cs="仿宋"/>
                <w:sz w:val="24"/>
              </w:rPr>
            </w:pPr>
          </w:p>
        </w:tc>
        <w:tc>
          <w:tcPr>
            <w:tcW w:w="7501"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鼓励金融机构推出数字化转型专项贷，面向获评市级以上数字化项目的企业，探索设立绿色通道，持续加大对数字化企业和应用企业的支持力度。</w:t>
            </w:r>
          </w:p>
        </w:tc>
        <w:tc>
          <w:tcPr>
            <w:tcW w:w="1905"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市发改委</w:t>
            </w:r>
            <w:r>
              <w:rPr>
                <w:rFonts w:hint="eastAsia" w:ascii="Times New Roman" w:hAnsi="Times New Roman" w:eastAsia="仿宋" w:cs="Times New Roman"/>
                <w:bCs/>
                <w:sz w:val="24"/>
              </w:rPr>
              <w:t>、</w:t>
            </w:r>
            <w:r>
              <w:rPr>
                <w:rFonts w:ascii="Times New Roman" w:hAnsi="Times New Roman" w:eastAsia="仿宋" w:cs="Times New Roman"/>
                <w:bCs/>
                <w:sz w:val="24"/>
              </w:rPr>
              <w:t>市政府金融办</w:t>
            </w:r>
          </w:p>
        </w:tc>
        <w:tc>
          <w:tcPr>
            <w:tcW w:w="2340"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4040" w:type="dxa"/>
            <w:gridSpan w:val="5"/>
            <w:vAlign w:val="center"/>
          </w:tcPr>
          <w:p>
            <w:pPr>
              <w:tabs>
                <w:tab w:val="left" w:pos="420"/>
              </w:tabs>
              <w:spacing w:line="300" w:lineRule="exact"/>
              <w:rPr>
                <w:rFonts w:ascii="Times New Roman" w:hAnsi="Times New Roman" w:eastAsia="仿宋" w:cs="Times New Roman"/>
                <w:bCs/>
                <w:sz w:val="24"/>
              </w:rPr>
            </w:pPr>
            <w:r>
              <w:rPr>
                <w:rFonts w:ascii="Times New Roman" w:hAnsi="Times New Roman" w:eastAsia="楷体" w:cs="Times New Roman"/>
                <w:b/>
                <w:sz w:val="24"/>
              </w:rPr>
              <w:t>三</w:t>
            </w:r>
            <w:r>
              <w:rPr>
                <w:rFonts w:hint="eastAsia" w:ascii="Times New Roman" w:hAnsi="Times New Roman" w:eastAsia="楷体" w:cs="Times New Roman"/>
                <w:b/>
                <w:sz w:val="24"/>
              </w:rPr>
              <w:t>、</w:t>
            </w:r>
            <w:r>
              <w:rPr>
                <w:rFonts w:ascii="Times New Roman" w:hAnsi="Times New Roman" w:eastAsia="楷体" w:cs="Times New Roman"/>
                <w:b/>
                <w:sz w:val="24"/>
              </w:rPr>
              <w:t>强化应用能力，推动数实经济深度融合发展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844" w:type="dxa"/>
            <w:vMerge w:val="restart"/>
            <w:vAlign w:val="center"/>
          </w:tcPr>
          <w:p>
            <w:pPr>
              <w:spacing w:line="300" w:lineRule="exact"/>
              <w:jc w:val="center"/>
              <w:rPr>
                <w:rFonts w:ascii="Times New Roman" w:hAnsi="Times New Roman" w:eastAsia="楷体" w:cs="Times New Roman"/>
                <w:b/>
                <w:bCs/>
                <w:sz w:val="32"/>
                <w:szCs w:val="32"/>
              </w:rPr>
            </w:pPr>
            <w:r>
              <w:rPr>
                <w:rFonts w:ascii="Times New Roman" w:hAnsi="Times New Roman" w:eastAsia="楷体" w:cs="Times New Roman"/>
                <w:b/>
                <w:sz w:val="24"/>
              </w:rPr>
              <w:t>实施标杆示范引领行动</w:t>
            </w:r>
          </w:p>
        </w:tc>
        <w:tc>
          <w:tcPr>
            <w:tcW w:w="450" w:type="dxa"/>
            <w:vAlign w:val="center"/>
          </w:tcPr>
          <w:p>
            <w:pPr>
              <w:numPr>
                <w:ilvl w:val="0"/>
                <w:numId w:val="1"/>
              </w:numPr>
              <w:spacing w:line="300" w:lineRule="exact"/>
              <w:jc w:val="center"/>
              <w:rPr>
                <w:rFonts w:ascii="仿宋" w:hAnsi="仿宋" w:eastAsia="仿宋" w:cs="仿宋"/>
                <w:sz w:val="24"/>
              </w:rPr>
            </w:pPr>
          </w:p>
        </w:tc>
        <w:tc>
          <w:tcPr>
            <w:tcW w:w="7501"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创建一批国省级智能制造优秀场景、5G典型应用场景、制造业数字化转型典型应用场景等示范项目</w:t>
            </w:r>
            <w:r>
              <w:rPr>
                <w:rFonts w:hint="eastAsia" w:ascii="Times New Roman" w:hAnsi="Times New Roman" w:eastAsia="仿宋" w:cs="Times New Roman"/>
                <w:bCs/>
                <w:sz w:val="24"/>
              </w:rPr>
              <w:t>和</w:t>
            </w:r>
            <w:r>
              <w:rPr>
                <w:rFonts w:ascii="Times New Roman" w:hAnsi="Times New Roman" w:eastAsia="仿宋" w:cs="Times New Roman"/>
                <w:bCs/>
                <w:sz w:val="24"/>
              </w:rPr>
              <w:t>国省级智能制造、“5G+工业互联网”、两化融合管理体系贯标标杆企业等。每年建设一批省级制造业数字化转型“三化”重点项目和“数字新基建”标志性项目</w:t>
            </w:r>
            <w:r>
              <w:rPr>
                <w:rFonts w:hint="eastAsia" w:ascii="Times New Roman" w:hAnsi="Times New Roman" w:eastAsia="仿宋" w:cs="Times New Roman"/>
                <w:bCs/>
                <w:sz w:val="24"/>
              </w:rPr>
              <w:t>。</w:t>
            </w:r>
          </w:p>
        </w:tc>
        <w:tc>
          <w:tcPr>
            <w:tcW w:w="1905"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市工信局</w:t>
            </w:r>
          </w:p>
        </w:tc>
        <w:tc>
          <w:tcPr>
            <w:tcW w:w="2340"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市发改委</w:t>
            </w:r>
            <w:r>
              <w:rPr>
                <w:rFonts w:ascii="Times New Roman" w:hAnsi="Times New Roman" w:eastAsia="仿宋" w:cs="Times New Roman"/>
                <w:bCs/>
                <w:sz w:val="24"/>
              </w:rPr>
              <w:t>、</w:t>
            </w:r>
            <w:r>
              <w:rPr>
                <w:rFonts w:hint="eastAsia" w:ascii="Times New Roman" w:hAnsi="Times New Roman" w:eastAsia="仿宋" w:cs="Times New Roman"/>
                <w:bCs/>
                <w:color w:val="000000" w:themeColor="text1"/>
                <w:sz w:val="24"/>
              </w:rPr>
              <w:t>各县市区、</w:t>
            </w:r>
            <w:r>
              <w:rPr>
                <w:rFonts w:hint="eastAsia" w:ascii="Times New Roman" w:hAnsi="Times New Roman" w:eastAsia="仿宋" w:cs="Times New Roman"/>
                <w:bCs/>
                <w:sz w:val="24"/>
              </w:rPr>
              <w:t>各园区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44" w:type="dxa"/>
            <w:vMerge w:val="continue"/>
            <w:vAlign w:val="center"/>
          </w:tcPr>
          <w:p>
            <w:pPr>
              <w:spacing w:line="300" w:lineRule="exact"/>
              <w:jc w:val="center"/>
              <w:rPr>
                <w:rFonts w:ascii="Times New Roman" w:hAnsi="Times New Roman" w:eastAsia="楷体" w:cs="Times New Roman"/>
                <w:b/>
                <w:bCs/>
                <w:sz w:val="32"/>
                <w:szCs w:val="32"/>
              </w:rPr>
            </w:pPr>
          </w:p>
        </w:tc>
        <w:tc>
          <w:tcPr>
            <w:tcW w:w="450" w:type="dxa"/>
            <w:vAlign w:val="center"/>
          </w:tcPr>
          <w:p>
            <w:pPr>
              <w:numPr>
                <w:ilvl w:val="0"/>
                <w:numId w:val="1"/>
              </w:numPr>
              <w:spacing w:line="300" w:lineRule="exact"/>
              <w:jc w:val="center"/>
              <w:rPr>
                <w:rFonts w:ascii="仿宋" w:hAnsi="仿宋" w:eastAsia="仿宋" w:cs="仿宋"/>
                <w:sz w:val="24"/>
              </w:rPr>
            </w:pPr>
          </w:p>
        </w:tc>
        <w:tc>
          <w:tcPr>
            <w:tcW w:w="7501"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推进智能化技术、设备、系统在农产品加工、物流、金融等农业或服务业的深度应用，培育供应链金融、服务型制造、共享制造等融通发展新模式。</w:t>
            </w:r>
          </w:p>
        </w:tc>
        <w:tc>
          <w:tcPr>
            <w:tcW w:w="1905"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市工信局</w:t>
            </w:r>
          </w:p>
        </w:tc>
        <w:tc>
          <w:tcPr>
            <w:tcW w:w="2340"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市发改委</w:t>
            </w:r>
            <w:r>
              <w:rPr>
                <w:rFonts w:ascii="Times New Roman" w:hAnsi="Times New Roman" w:eastAsia="仿宋" w:cs="Times New Roman"/>
                <w:bCs/>
                <w:sz w:val="24"/>
              </w:rPr>
              <w:t>、市农业农村局、市商务局、市政府金融办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44" w:type="dxa"/>
            <w:vMerge w:val="restart"/>
            <w:vAlign w:val="center"/>
          </w:tcPr>
          <w:p>
            <w:pPr>
              <w:spacing w:line="300" w:lineRule="exact"/>
              <w:jc w:val="center"/>
              <w:rPr>
                <w:rFonts w:ascii="Times New Roman" w:hAnsi="Times New Roman" w:eastAsia="楷体" w:cs="Times New Roman"/>
                <w:b/>
                <w:bCs/>
                <w:sz w:val="32"/>
                <w:szCs w:val="32"/>
              </w:rPr>
            </w:pPr>
            <w:r>
              <w:rPr>
                <w:rFonts w:ascii="Times New Roman" w:hAnsi="Times New Roman" w:eastAsia="楷体" w:cs="Times New Roman"/>
                <w:b/>
                <w:sz w:val="24"/>
              </w:rPr>
              <w:t>实施中小企业“智转数改”行动</w:t>
            </w:r>
          </w:p>
        </w:tc>
        <w:tc>
          <w:tcPr>
            <w:tcW w:w="450" w:type="dxa"/>
            <w:vAlign w:val="center"/>
          </w:tcPr>
          <w:p>
            <w:pPr>
              <w:numPr>
                <w:ilvl w:val="0"/>
                <w:numId w:val="1"/>
              </w:numPr>
              <w:spacing w:line="300" w:lineRule="exact"/>
              <w:jc w:val="center"/>
              <w:rPr>
                <w:rFonts w:ascii="仿宋" w:hAnsi="仿宋" w:eastAsia="仿宋" w:cs="仿宋"/>
                <w:sz w:val="24"/>
              </w:rPr>
            </w:pPr>
          </w:p>
        </w:tc>
        <w:tc>
          <w:tcPr>
            <w:tcW w:w="7501"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搭建生态服务资源池，支持数字化转型服务商面向中小企业开发“小快轻准”的解决方案。持续推进智能制造能力成熟度自评估和两化融合管理体系贯标认定工作。</w:t>
            </w:r>
          </w:p>
        </w:tc>
        <w:tc>
          <w:tcPr>
            <w:tcW w:w="1905"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市工信局</w:t>
            </w:r>
          </w:p>
        </w:tc>
        <w:tc>
          <w:tcPr>
            <w:tcW w:w="2340"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市发改委</w:t>
            </w:r>
            <w:r>
              <w:rPr>
                <w:rFonts w:ascii="Times New Roman" w:hAnsi="Times New Roman" w:eastAsia="仿宋" w:cs="Times New Roman"/>
                <w:bCs/>
                <w:sz w:val="24"/>
              </w:rPr>
              <w:t>、</w:t>
            </w:r>
            <w:r>
              <w:rPr>
                <w:rFonts w:hint="eastAsia" w:ascii="Times New Roman" w:hAnsi="Times New Roman" w:eastAsia="仿宋" w:cs="Times New Roman"/>
                <w:bCs/>
                <w:sz w:val="24"/>
              </w:rPr>
              <w:t>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44" w:type="dxa"/>
            <w:vMerge w:val="continue"/>
            <w:vAlign w:val="center"/>
          </w:tcPr>
          <w:p>
            <w:pPr>
              <w:spacing w:line="300" w:lineRule="exact"/>
              <w:jc w:val="center"/>
              <w:rPr>
                <w:rFonts w:ascii="Times New Roman" w:hAnsi="Times New Roman" w:eastAsia="楷体" w:cs="Times New Roman"/>
                <w:b/>
                <w:bCs/>
                <w:sz w:val="32"/>
                <w:szCs w:val="32"/>
              </w:rPr>
            </w:pPr>
          </w:p>
        </w:tc>
        <w:tc>
          <w:tcPr>
            <w:tcW w:w="450" w:type="dxa"/>
            <w:vAlign w:val="center"/>
          </w:tcPr>
          <w:p>
            <w:pPr>
              <w:numPr>
                <w:ilvl w:val="0"/>
                <w:numId w:val="1"/>
              </w:numPr>
              <w:spacing w:line="300" w:lineRule="exact"/>
              <w:jc w:val="center"/>
              <w:rPr>
                <w:rFonts w:ascii="仿宋" w:hAnsi="仿宋" w:eastAsia="仿宋" w:cs="仿宋"/>
                <w:sz w:val="24"/>
              </w:rPr>
            </w:pPr>
          </w:p>
        </w:tc>
        <w:tc>
          <w:tcPr>
            <w:tcW w:w="7501"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推动每年新增5</w:t>
            </w:r>
            <w:r>
              <w:rPr>
                <w:rFonts w:hint="eastAsia" w:ascii="Times New Roman" w:hAnsi="Times New Roman" w:eastAsia="仿宋" w:cs="Times New Roman"/>
                <w:bCs/>
                <w:sz w:val="24"/>
              </w:rPr>
              <w:t>5</w:t>
            </w:r>
            <w:r>
              <w:rPr>
                <w:rFonts w:ascii="Times New Roman" w:hAnsi="Times New Roman" w:eastAsia="仿宋" w:cs="Times New Roman"/>
                <w:bCs/>
                <w:sz w:val="24"/>
              </w:rPr>
              <w:t>00家左右企业“上云”、500家左右企业“上平台”，培育一批“上云上平台”标杆。每年培育创新型中小企业350家左右，省级专精特新中小企业100家左右，国家专精特新“小巨人”企业35家左右，争创一批单项冠军企业（产品）。</w:t>
            </w:r>
          </w:p>
        </w:tc>
        <w:tc>
          <w:tcPr>
            <w:tcW w:w="1905"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市工信局</w:t>
            </w:r>
          </w:p>
        </w:tc>
        <w:tc>
          <w:tcPr>
            <w:tcW w:w="2340"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市工商联</w:t>
            </w:r>
            <w:r>
              <w:rPr>
                <w:rFonts w:hint="eastAsia" w:ascii="Times New Roman" w:hAnsi="Times New Roman" w:eastAsia="仿宋" w:cs="Times New Roman"/>
                <w:bCs/>
                <w:sz w:val="24"/>
              </w:rPr>
              <w:t>、各</w:t>
            </w:r>
            <w:r>
              <w:rPr>
                <w:rFonts w:hint="eastAsia" w:ascii="Times New Roman" w:hAnsi="Times New Roman" w:eastAsia="仿宋" w:cs="Times New Roman"/>
                <w:bCs/>
                <w:color w:val="000000" w:themeColor="text1"/>
                <w:sz w:val="24"/>
              </w:rPr>
              <w:t>县市区、</w:t>
            </w:r>
            <w:r>
              <w:rPr>
                <w:rFonts w:hint="eastAsia" w:ascii="Times New Roman" w:hAnsi="Times New Roman" w:eastAsia="仿宋" w:cs="Times New Roman"/>
                <w:bCs/>
                <w:sz w:val="24"/>
              </w:rPr>
              <w:t>各园区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44" w:type="dxa"/>
            <w:vMerge w:val="restart"/>
            <w:vAlign w:val="center"/>
          </w:tcPr>
          <w:p>
            <w:pPr>
              <w:spacing w:line="300" w:lineRule="exact"/>
              <w:jc w:val="center"/>
              <w:rPr>
                <w:rFonts w:ascii="Times New Roman" w:hAnsi="Times New Roman" w:eastAsia="楷体" w:cs="Times New Roman"/>
                <w:b/>
                <w:bCs/>
                <w:sz w:val="32"/>
                <w:szCs w:val="32"/>
              </w:rPr>
            </w:pPr>
            <w:r>
              <w:rPr>
                <w:rFonts w:ascii="Times New Roman" w:hAnsi="Times New Roman" w:eastAsia="楷体" w:cs="Times New Roman"/>
                <w:b/>
                <w:sz w:val="24"/>
              </w:rPr>
              <w:t>实施重点产业示范行动</w:t>
            </w:r>
          </w:p>
        </w:tc>
        <w:tc>
          <w:tcPr>
            <w:tcW w:w="450" w:type="dxa"/>
            <w:vAlign w:val="center"/>
          </w:tcPr>
          <w:p>
            <w:pPr>
              <w:numPr>
                <w:ilvl w:val="0"/>
                <w:numId w:val="1"/>
              </w:numPr>
              <w:spacing w:line="300" w:lineRule="exact"/>
              <w:jc w:val="center"/>
              <w:rPr>
                <w:rFonts w:ascii="仿宋" w:hAnsi="仿宋" w:eastAsia="仿宋" w:cs="仿宋"/>
                <w:sz w:val="24"/>
              </w:rPr>
            </w:pPr>
          </w:p>
        </w:tc>
        <w:tc>
          <w:tcPr>
            <w:tcW w:w="7501"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在轨道交通、航空航天两大装备制造领域，以复杂产品研制的数字化设计与柔性化生产为切入点，开展异地协同开发、云制造、柔性制造、模块定制、智能运维等新模式试点示范。在电子信息和新能源汽车领域，支持企业以提升工艺制程智能化、生产柔性化水平为切入点，开展数字化工艺设计与可制造性分析，建立柔性可重构和大规模个性化定制生产模式。</w:t>
            </w:r>
          </w:p>
        </w:tc>
        <w:tc>
          <w:tcPr>
            <w:tcW w:w="1905"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市工信局</w:t>
            </w:r>
          </w:p>
        </w:tc>
        <w:tc>
          <w:tcPr>
            <w:tcW w:w="2340"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市发改委、</w:t>
            </w:r>
            <w:r>
              <w:rPr>
                <w:rFonts w:hint="eastAsia" w:ascii="Times New Roman" w:hAnsi="Times New Roman" w:eastAsia="仿宋" w:cs="Times New Roman"/>
                <w:bCs/>
                <w:color w:val="000000" w:themeColor="text1"/>
                <w:sz w:val="24"/>
              </w:rPr>
              <w:t>石峰区、芦淞区、天元区、</w:t>
            </w:r>
            <w:r>
              <w:rPr>
                <w:rFonts w:hint="eastAsia" w:ascii="Times New Roman" w:hAnsi="Times New Roman" w:eastAsia="仿宋" w:cs="Times New Roman"/>
                <w:bCs/>
                <w:sz w:val="24"/>
              </w:rPr>
              <w:t>相关园区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844" w:type="dxa"/>
            <w:vMerge w:val="continue"/>
            <w:vAlign w:val="center"/>
          </w:tcPr>
          <w:p>
            <w:pPr>
              <w:spacing w:line="300" w:lineRule="exact"/>
              <w:jc w:val="center"/>
              <w:rPr>
                <w:rFonts w:ascii="Times New Roman" w:hAnsi="Times New Roman" w:eastAsia="楷体" w:cs="Times New Roman"/>
                <w:b/>
                <w:bCs/>
                <w:sz w:val="32"/>
                <w:szCs w:val="32"/>
              </w:rPr>
            </w:pPr>
          </w:p>
        </w:tc>
        <w:tc>
          <w:tcPr>
            <w:tcW w:w="450" w:type="dxa"/>
            <w:vAlign w:val="center"/>
          </w:tcPr>
          <w:p>
            <w:pPr>
              <w:numPr>
                <w:ilvl w:val="0"/>
                <w:numId w:val="1"/>
              </w:numPr>
              <w:spacing w:line="300" w:lineRule="exact"/>
              <w:jc w:val="center"/>
              <w:rPr>
                <w:rFonts w:ascii="仿宋" w:hAnsi="仿宋" w:eastAsia="仿宋" w:cs="仿宋"/>
                <w:sz w:val="24"/>
              </w:rPr>
            </w:pPr>
          </w:p>
        </w:tc>
        <w:tc>
          <w:tcPr>
            <w:tcW w:w="7501"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在硬质合金领域，支持企业以设备智能管控为切入点，聚焦全流程制造与安能环管理的智能优化，实现全过程绿色化生产。在高分子新材料领域，支持企业以数据驱动新产品研发实验为切入点，建立网络化协同平台，实现产品全生命周期可追溯管理。</w:t>
            </w:r>
          </w:p>
        </w:tc>
        <w:tc>
          <w:tcPr>
            <w:tcW w:w="1905"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市工信局</w:t>
            </w:r>
          </w:p>
        </w:tc>
        <w:tc>
          <w:tcPr>
            <w:tcW w:w="2340"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市科技局</w:t>
            </w:r>
            <w:r>
              <w:rPr>
                <w:rFonts w:hint="eastAsia" w:ascii="Times New Roman" w:hAnsi="Times New Roman" w:eastAsia="仿宋" w:cs="Times New Roman"/>
                <w:bCs/>
                <w:sz w:val="24"/>
              </w:rPr>
              <w:t>、</w:t>
            </w:r>
            <w:r>
              <w:rPr>
                <w:rFonts w:hint="eastAsia" w:ascii="Times New Roman" w:hAnsi="Times New Roman" w:eastAsia="仿宋" w:cs="Times New Roman"/>
                <w:bCs/>
                <w:color w:val="000000" w:themeColor="text1"/>
                <w:sz w:val="24"/>
              </w:rPr>
              <w:t>荷塘区、渌口区、天元区政府、</w:t>
            </w:r>
            <w:r>
              <w:rPr>
                <w:rFonts w:hint="eastAsia" w:ascii="Times New Roman" w:hAnsi="Times New Roman" w:eastAsia="仿宋" w:cs="Times New Roman"/>
                <w:bCs/>
                <w:sz w:val="24"/>
              </w:rPr>
              <w:t>相关园区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844" w:type="dxa"/>
            <w:vMerge w:val="continue"/>
            <w:vAlign w:val="center"/>
          </w:tcPr>
          <w:p>
            <w:pPr>
              <w:spacing w:line="300" w:lineRule="exact"/>
              <w:jc w:val="center"/>
              <w:rPr>
                <w:rFonts w:ascii="Times New Roman" w:hAnsi="Times New Roman" w:eastAsia="楷体" w:cs="Times New Roman"/>
                <w:b/>
                <w:bCs/>
                <w:sz w:val="32"/>
                <w:szCs w:val="32"/>
              </w:rPr>
            </w:pPr>
          </w:p>
        </w:tc>
        <w:tc>
          <w:tcPr>
            <w:tcW w:w="450" w:type="dxa"/>
            <w:vAlign w:val="center"/>
          </w:tcPr>
          <w:p>
            <w:pPr>
              <w:numPr>
                <w:ilvl w:val="0"/>
                <w:numId w:val="1"/>
              </w:numPr>
              <w:spacing w:line="300" w:lineRule="exact"/>
              <w:jc w:val="center"/>
              <w:rPr>
                <w:rFonts w:ascii="仿宋" w:hAnsi="仿宋" w:eastAsia="仿宋" w:cs="仿宋"/>
                <w:sz w:val="24"/>
              </w:rPr>
            </w:pPr>
          </w:p>
        </w:tc>
        <w:tc>
          <w:tcPr>
            <w:tcW w:w="7501"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在陶瓷领域，支持企业通过改造现有设备、自主研发专机等多种方式，有序推动设备智能化升级，在高强度、高精度岗位推广应用工业机器人。在服饰领域，支持企业以柔性定制生产为切入点，深入推进产供销一体化协同，加快推动云制造、共享制造、网络精准营销等新模式发展。</w:t>
            </w:r>
          </w:p>
        </w:tc>
        <w:tc>
          <w:tcPr>
            <w:tcW w:w="1905"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市工信局</w:t>
            </w:r>
          </w:p>
        </w:tc>
        <w:tc>
          <w:tcPr>
            <w:tcW w:w="2340"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color w:val="000000" w:themeColor="text1"/>
                <w:sz w:val="24"/>
              </w:rPr>
              <w:t>市商务局、动力谷发展研究中心、醴陵市、芦淞区、</w:t>
            </w:r>
            <w:r>
              <w:rPr>
                <w:rFonts w:hint="eastAsia" w:ascii="Times New Roman" w:hAnsi="Times New Roman" w:eastAsia="仿宋" w:cs="Times New Roman"/>
                <w:bCs/>
                <w:sz w:val="24"/>
              </w:rPr>
              <w:t>相关园区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44" w:type="dxa"/>
            <w:vMerge w:val="restart"/>
            <w:vAlign w:val="center"/>
          </w:tcPr>
          <w:p>
            <w:pPr>
              <w:spacing w:line="300" w:lineRule="exact"/>
              <w:jc w:val="center"/>
              <w:rPr>
                <w:rFonts w:ascii="Times New Roman" w:hAnsi="Times New Roman" w:eastAsia="楷体" w:cs="Times New Roman"/>
                <w:b/>
                <w:bCs/>
                <w:sz w:val="32"/>
                <w:szCs w:val="32"/>
              </w:rPr>
            </w:pPr>
            <w:r>
              <w:rPr>
                <w:rFonts w:ascii="Times New Roman" w:hAnsi="Times New Roman" w:eastAsia="楷体" w:cs="Times New Roman"/>
                <w:b/>
                <w:sz w:val="24"/>
              </w:rPr>
              <w:t>实施产业园区赋能行动</w:t>
            </w:r>
          </w:p>
        </w:tc>
        <w:tc>
          <w:tcPr>
            <w:tcW w:w="450" w:type="dxa"/>
            <w:vAlign w:val="center"/>
          </w:tcPr>
          <w:p>
            <w:pPr>
              <w:numPr>
                <w:ilvl w:val="0"/>
                <w:numId w:val="1"/>
              </w:numPr>
              <w:spacing w:line="300" w:lineRule="exact"/>
              <w:jc w:val="center"/>
              <w:rPr>
                <w:rFonts w:ascii="仿宋" w:hAnsi="仿宋" w:eastAsia="仿宋" w:cs="仿宋"/>
                <w:sz w:val="24"/>
              </w:rPr>
            </w:pPr>
          </w:p>
        </w:tc>
        <w:tc>
          <w:tcPr>
            <w:tcW w:w="7501"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积极创建省级“5G+工业互联网”融合应用先导区和工业互联网新型工业化产业示范基地。建立市级工业软件产品名录库，建设一批智能工位、智能制造生产线（车间）、智能制造企业。创新开发</w:t>
            </w:r>
            <w:r>
              <w:rPr>
                <w:rFonts w:hint="eastAsia" w:ascii="Times New Roman" w:hAnsi="Times New Roman" w:eastAsia="仿宋" w:cs="Times New Roman"/>
                <w:bCs/>
                <w:sz w:val="24"/>
              </w:rPr>
              <w:t>建设</w:t>
            </w:r>
            <w:r>
              <w:rPr>
                <w:rFonts w:ascii="Times New Roman" w:hAnsi="Times New Roman" w:eastAsia="仿宋" w:cs="Times New Roman"/>
                <w:bCs/>
                <w:sz w:val="24"/>
              </w:rPr>
              <w:t>一批智慧审批、智慧水务、智慧节能、智慧金融、智能监控等系统及应用。</w:t>
            </w:r>
          </w:p>
        </w:tc>
        <w:tc>
          <w:tcPr>
            <w:tcW w:w="1905"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市工信局</w:t>
            </w:r>
          </w:p>
        </w:tc>
        <w:tc>
          <w:tcPr>
            <w:tcW w:w="2340"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市发改委</w:t>
            </w:r>
            <w:r>
              <w:rPr>
                <w:rFonts w:ascii="Times New Roman" w:hAnsi="Times New Roman" w:eastAsia="仿宋" w:cs="Times New Roman"/>
                <w:bCs/>
                <w:sz w:val="24"/>
              </w:rPr>
              <w:t>、市科技局、</w:t>
            </w:r>
            <w:r>
              <w:rPr>
                <w:rFonts w:ascii="Times New Roman" w:hAnsi="Times New Roman" w:eastAsia="仿宋" w:cs="Times New Roman"/>
                <w:bCs/>
                <w:color w:val="000000" w:themeColor="text1"/>
                <w:sz w:val="24"/>
              </w:rPr>
              <w:t>市行政审批</w:t>
            </w:r>
            <w:r>
              <w:rPr>
                <w:rFonts w:hint="eastAsia" w:ascii="Times New Roman" w:hAnsi="Times New Roman" w:eastAsia="仿宋" w:cs="Times New Roman"/>
                <w:bCs/>
                <w:color w:val="000000" w:themeColor="text1"/>
                <w:sz w:val="24"/>
              </w:rPr>
              <w:t>服务</w:t>
            </w:r>
            <w:r>
              <w:rPr>
                <w:rFonts w:ascii="Times New Roman" w:hAnsi="Times New Roman" w:eastAsia="仿宋" w:cs="Times New Roman"/>
                <w:bCs/>
                <w:color w:val="000000" w:themeColor="text1"/>
                <w:sz w:val="24"/>
              </w:rPr>
              <w:t>局</w:t>
            </w:r>
            <w:r>
              <w:rPr>
                <w:rFonts w:hint="eastAsia" w:ascii="Times New Roman" w:hAnsi="Times New Roman" w:eastAsia="仿宋" w:cs="Times New Roman"/>
                <w:bCs/>
                <w:color w:val="000000" w:themeColor="text1"/>
                <w:sz w:val="24"/>
              </w:rPr>
              <w:t>、</w:t>
            </w:r>
            <w:r>
              <w:rPr>
                <w:rFonts w:hint="eastAsia" w:ascii="Times New Roman" w:hAnsi="Times New Roman" w:eastAsia="仿宋" w:cs="Times New Roman"/>
                <w:bCs/>
                <w:sz w:val="24"/>
              </w:rPr>
              <w:t>相关园区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844" w:type="dxa"/>
            <w:vMerge w:val="continue"/>
            <w:vAlign w:val="center"/>
          </w:tcPr>
          <w:p>
            <w:pPr>
              <w:spacing w:line="300" w:lineRule="exact"/>
              <w:jc w:val="center"/>
              <w:rPr>
                <w:rFonts w:ascii="Times New Roman" w:hAnsi="Times New Roman" w:eastAsia="楷体" w:cs="Times New Roman"/>
                <w:b/>
                <w:bCs/>
                <w:sz w:val="32"/>
                <w:szCs w:val="32"/>
              </w:rPr>
            </w:pPr>
          </w:p>
        </w:tc>
        <w:tc>
          <w:tcPr>
            <w:tcW w:w="450" w:type="dxa"/>
            <w:vAlign w:val="center"/>
          </w:tcPr>
          <w:p>
            <w:pPr>
              <w:numPr>
                <w:ilvl w:val="0"/>
                <w:numId w:val="1"/>
              </w:numPr>
              <w:spacing w:line="300" w:lineRule="exact"/>
              <w:jc w:val="center"/>
              <w:rPr>
                <w:rFonts w:ascii="仿宋" w:hAnsi="仿宋" w:eastAsia="仿宋" w:cs="仿宋"/>
                <w:sz w:val="24"/>
              </w:rPr>
            </w:pPr>
          </w:p>
        </w:tc>
        <w:tc>
          <w:tcPr>
            <w:tcW w:w="7501"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培育引进一批掌握关键核心技术、具有核心竞争力的生态主导型数字产业企业，积极探索产业链智慧招商。</w:t>
            </w:r>
          </w:p>
        </w:tc>
        <w:tc>
          <w:tcPr>
            <w:tcW w:w="1905"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市商务局</w:t>
            </w:r>
          </w:p>
        </w:tc>
        <w:tc>
          <w:tcPr>
            <w:tcW w:w="2340"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市发改委</w:t>
            </w:r>
            <w:r>
              <w:rPr>
                <w:rFonts w:ascii="Times New Roman" w:hAnsi="Times New Roman" w:eastAsia="仿宋" w:cs="Times New Roman"/>
                <w:bCs/>
                <w:sz w:val="24"/>
              </w:rPr>
              <w:t>、</w:t>
            </w:r>
            <w:r>
              <w:rPr>
                <w:rFonts w:hint="eastAsia" w:ascii="Times New Roman" w:hAnsi="Times New Roman" w:eastAsia="仿宋" w:cs="Times New Roman"/>
                <w:bCs/>
                <w:sz w:val="24"/>
              </w:rPr>
              <w:t>市工信局、各园区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844" w:type="dxa"/>
            <w:vMerge w:val="continue"/>
            <w:vAlign w:val="center"/>
          </w:tcPr>
          <w:p>
            <w:pPr>
              <w:spacing w:line="300" w:lineRule="exact"/>
              <w:jc w:val="center"/>
              <w:rPr>
                <w:rFonts w:ascii="Times New Roman" w:hAnsi="Times New Roman" w:eastAsia="楷体" w:cs="Times New Roman"/>
                <w:b/>
                <w:bCs/>
                <w:sz w:val="32"/>
                <w:szCs w:val="32"/>
              </w:rPr>
            </w:pPr>
          </w:p>
        </w:tc>
        <w:tc>
          <w:tcPr>
            <w:tcW w:w="450" w:type="dxa"/>
            <w:vAlign w:val="center"/>
          </w:tcPr>
          <w:p>
            <w:pPr>
              <w:numPr>
                <w:ilvl w:val="0"/>
                <w:numId w:val="1"/>
              </w:numPr>
              <w:spacing w:line="300" w:lineRule="exact"/>
              <w:jc w:val="center"/>
              <w:rPr>
                <w:rFonts w:ascii="仿宋" w:hAnsi="仿宋" w:eastAsia="仿宋" w:cs="仿宋"/>
                <w:sz w:val="24"/>
              </w:rPr>
            </w:pPr>
          </w:p>
        </w:tc>
        <w:tc>
          <w:tcPr>
            <w:tcW w:w="7501" w:type="dxa"/>
            <w:vAlign w:val="center"/>
          </w:tcPr>
          <w:p>
            <w:pPr>
              <w:spacing w:line="300" w:lineRule="exact"/>
              <w:jc w:val="left"/>
              <w:rPr>
                <w:rFonts w:ascii="Times New Roman" w:hAnsi="Times New Roman" w:eastAsia="仿宋" w:cs="Times New Roman"/>
                <w:bCs/>
                <w:sz w:val="24"/>
              </w:rPr>
            </w:pPr>
            <w:r>
              <w:rPr>
                <w:rFonts w:ascii="Times New Roman" w:hAnsi="Times New Roman" w:eastAsia="仿宋" w:cs="Times New Roman"/>
                <w:bCs/>
                <w:sz w:val="24"/>
              </w:rPr>
              <w:t>数字经济年均增长15%以上</w:t>
            </w:r>
            <w:r>
              <w:rPr>
                <w:rFonts w:hint="eastAsia" w:ascii="Times New Roman" w:hAnsi="Times New Roman" w:eastAsia="仿宋" w:cs="Times New Roman"/>
                <w:bCs/>
                <w:sz w:val="24"/>
              </w:rPr>
              <w:t>。</w:t>
            </w:r>
          </w:p>
        </w:tc>
        <w:tc>
          <w:tcPr>
            <w:tcW w:w="1905"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市发改委</w:t>
            </w:r>
          </w:p>
        </w:tc>
        <w:tc>
          <w:tcPr>
            <w:tcW w:w="2340" w:type="dxa"/>
            <w:vAlign w:val="center"/>
          </w:tcPr>
          <w:p>
            <w:pPr>
              <w:spacing w:line="3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市工信局、市统计局、各园区</w:t>
            </w:r>
          </w:p>
        </w:tc>
      </w:tr>
    </w:tbl>
    <w:p/>
    <w:p>
      <w:pPr>
        <w:spacing w:line="20" w:lineRule="exact"/>
        <w:rPr>
          <w:rFonts w:ascii="仿宋" w:hAnsi="仿宋" w:eastAsia="仿宋" w:cs="仿宋"/>
          <w:sz w:val="32"/>
          <w:szCs w:val="32"/>
        </w:rPr>
      </w:pPr>
    </w:p>
    <w:sectPr>
      <w:footerReference r:id="rId4" w:type="default"/>
      <w:pgSz w:w="16838" w:h="11906" w:orient="landscape"/>
      <w:pgMar w:top="1417" w:right="1587" w:bottom="1701" w:left="1247" w:header="964" w:footer="124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Style w:val="8"/>
                              <w:rFonts w:ascii="宋体" w:hAnsi="宋体" w:eastAsia="宋体" w:cs="宋体"/>
                              <w:sz w:val="28"/>
                              <w:szCs w:val="28"/>
                            </w:rPr>
                          </w:pPr>
                          <w:r>
                            <w:rPr>
                              <w:rStyle w:val="8"/>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Style w:val="8"/>
                              <w:rFonts w:hint="eastAsia" w:ascii="宋体" w:hAnsi="宋体" w:eastAsia="宋体" w:cs="宋体"/>
                              <w:sz w:val="28"/>
                              <w:szCs w:val="28"/>
                            </w:rPr>
                            <w:fldChar w:fldCharType="separate"/>
                          </w:r>
                          <w:r>
                            <w:rPr>
                              <w:rStyle w:val="8"/>
                              <w:rFonts w:ascii="宋体" w:hAnsi="宋体" w:eastAsia="宋体" w:cs="宋体"/>
                              <w:sz w:val="28"/>
                              <w:szCs w:val="28"/>
                            </w:rPr>
                            <w:t>- 14 -</w:t>
                          </w:r>
                          <w:r>
                            <w:rPr>
                              <w:rStyle w:val="8"/>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3"/>
                      <w:rPr>
                        <w:rStyle w:val="8"/>
                        <w:rFonts w:ascii="宋体" w:hAnsi="宋体" w:eastAsia="宋体" w:cs="宋体"/>
                        <w:sz w:val="28"/>
                        <w:szCs w:val="28"/>
                      </w:rPr>
                    </w:pPr>
                    <w:r>
                      <w:rPr>
                        <w:rStyle w:val="8"/>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Style w:val="8"/>
                        <w:rFonts w:hint="eastAsia" w:ascii="宋体" w:hAnsi="宋体" w:eastAsia="宋体" w:cs="宋体"/>
                        <w:sz w:val="28"/>
                        <w:szCs w:val="28"/>
                      </w:rPr>
                      <w:fldChar w:fldCharType="separate"/>
                    </w:r>
                    <w:r>
                      <w:rPr>
                        <w:rStyle w:val="8"/>
                        <w:rFonts w:ascii="宋体" w:hAnsi="宋体" w:eastAsia="宋体" w:cs="宋体"/>
                        <w:sz w:val="28"/>
                        <w:szCs w:val="28"/>
                      </w:rPr>
                      <w:t>- 14 -</w:t>
                    </w:r>
                    <w:r>
                      <w:rPr>
                        <w:rStyle w:val="8"/>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Style w:val="8"/>
                              <w:rFonts w:ascii="宋体" w:hAnsi="宋体" w:eastAsia="宋体" w:cs="宋体"/>
                              <w:sz w:val="28"/>
                              <w:szCs w:val="28"/>
                            </w:rPr>
                          </w:pPr>
                          <w:r>
                            <w:rPr>
                              <w:rStyle w:val="8"/>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Style w:val="8"/>
                              <w:rFonts w:hint="eastAsia" w:ascii="宋体" w:hAnsi="宋体" w:eastAsia="宋体" w:cs="宋体"/>
                              <w:sz w:val="28"/>
                              <w:szCs w:val="28"/>
                            </w:rPr>
                            <w:fldChar w:fldCharType="separate"/>
                          </w:r>
                          <w:r>
                            <w:rPr>
                              <w:rStyle w:val="8"/>
                              <w:rFonts w:ascii="宋体" w:hAnsi="宋体" w:eastAsia="宋体" w:cs="宋体"/>
                              <w:sz w:val="28"/>
                              <w:szCs w:val="28"/>
                            </w:rPr>
                            <w:t>- 18 -</w:t>
                          </w:r>
                          <w:r>
                            <w:rPr>
                              <w:rStyle w:val="8"/>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3"/>
                      <w:rPr>
                        <w:rStyle w:val="8"/>
                        <w:rFonts w:ascii="宋体" w:hAnsi="宋体" w:eastAsia="宋体" w:cs="宋体"/>
                        <w:sz w:val="28"/>
                        <w:szCs w:val="28"/>
                      </w:rPr>
                    </w:pPr>
                    <w:r>
                      <w:rPr>
                        <w:rStyle w:val="8"/>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Style w:val="8"/>
                        <w:rFonts w:hint="eastAsia" w:ascii="宋体" w:hAnsi="宋体" w:eastAsia="宋体" w:cs="宋体"/>
                        <w:sz w:val="28"/>
                        <w:szCs w:val="28"/>
                      </w:rPr>
                      <w:fldChar w:fldCharType="separate"/>
                    </w:r>
                    <w:r>
                      <w:rPr>
                        <w:rStyle w:val="8"/>
                        <w:rFonts w:ascii="宋体" w:hAnsi="宋体" w:eastAsia="宋体" w:cs="宋体"/>
                        <w:sz w:val="28"/>
                        <w:szCs w:val="28"/>
                      </w:rPr>
                      <w:t>- 18 -</w:t>
                    </w:r>
                    <w:r>
                      <w:rPr>
                        <w:rStyle w:val="8"/>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C220BA"/>
    <w:multiLevelType w:val="singleLevel"/>
    <w:tmpl w:val="A5C220BA"/>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mODBiYjYzZTcxYWJhYzIwOThiMzJjZDMyOGRkMmQifQ=="/>
  </w:docVars>
  <w:rsids>
    <w:rsidRoot w:val="007A4FA2"/>
    <w:rsid w:val="00042F8F"/>
    <w:rsid w:val="00076A01"/>
    <w:rsid w:val="00077389"/>
    <w:rsid w:val="000D3D1E"/>
    <w:rsid w:val="00150794"/>
    <w:rsid w:val="0015412C"/>
    <w:rsid w:val="00284CC4"/>
    <w:rsid w:val="002B66BC"/>
    <w:rsid w:val="002C7DE9"/>
    <w:rsid w:val="003B7D6F"/>
    <w:rsid w:val="00487C5E"/>
    <w:rsid w:val="005C0AB7"/>
    <w:rsid w:val="006C7BDD"/>
    <w:rsid w:val="006E5E84"/>
    <w:rsid w:val="007A4FA2"/>
    <w:rsid w:val="00800F79"/>
    <w:rsid w:val="008107E5"/>
    <w:rsid w:val="008D5746"/>
    <w:rsid w:val="009C502B"/>
    <w:rsid w:val="009D73AF"/>
    <w:rsid w:val="00B230C6"/>
    <w:rsid w:val="00BC7261"/>
    <w:rsid w:val="00BD438B"/>
    <w:rsid w:val="00BF076E"/>
    <w:rsid w:val="00C13737"/>
    <w:rsid w:val="00C64AD2"/>
    <w:rsid w:val="00C95DCA"/>
    <w:rsid w:val="00D36733"/>
    <w:rsid w:val="00D92125"/>
    <w:rsid w:val="00DD0256"/>
    <w:rsid w:val="00E1277A"/>
    <w:rsid w:val="00EB2A29"/>
    <w:rsid w:val="00EE0E74"/>
    <w:rsid w:val="00F806AA"/>
    <w:rsid w:val="00F81D63"/>
    <w:rsid w:val="00FB42B8"/>
    <w:rsid w:val="01BA0DA0"/>
    <w:rsid w:val="01CA216C"/>
    <w:rsid w:val="02181129"/>
    <w:rsid w:val="035F4CC9"/>
    <w:rsid w:val="03C20E03"/>
    <w:rsid w:val="083E7612"/>
    <w:rsid w:val="08CF1BA3"/>
    <w:rsid w:val="09BC05EC"/>
    <w:rsid w:val="0BD95A43"/>
    <w:rsid w:val="0CC560B4"/>
    <w:rsid w:val="0D5F45D9"/>
    <w:rsid w:val="0E603F0F"/>
    <w:rsid w:val="0EC341CA"/>
    <w:rsid w:val="12F80BEB"/>
    <w:rsid w:val="14955D0F"/>
    <w:rsid w:val="14C82E7A"/>
    <w:rsid w:val="153876C0"/>
    <w:rsid w:val="16005926"/>
    <w:rsid w:val="1686445B"/>
    <w:rsid w:val="168D7598"/>
    <w:rsid w:val="169E3077"/>
    <w:rsid w:val="16D76121"/>
    <w:rsid w:val="17EB4C0E"/>
    <w:rsid w:val="18041ADC"/>
    <w:rsid w:val="18CB4360"/>
    <w:rsid w:val="18DC0363"/>
    <w:rsid w:val="1ABD2416"/>
    <w:rsid w:val="1B155DAE"/>
    <w:rsid w:val="1CEA7FA2"/>
    <w:rsid w:val="1E0A5972"/>
    <w:rsid w:val="22486A69"/>
    <w:rsid w:val="22853EAF"/>
    <w:rsid w:val="231E03A2"/>
    <w:rsid w:val="248C5333"/>
    <w:rsid w:val="248E5FCE"/>
    <w:rsid w:val="24B108F5"/>
    <w:rsid w:val="25956469"/>
    <w:rsid w:val="26B47885"/>
    <w:rsid w:val="2734580E"/>
    <w:rsid w:val="29E8537F"/>
    <w:rsid w:val="2A1F4553"/>
    <w:rsid w:val="2AA131BA"/>
    <w:rsid w:val="2E637093"/>
    <w:rsid w:val="31C86AC5"/>
    <w:rsid w:val="31D43E75"/>
    <w:rsid w:val="329234F1"/>
    <w:rsid w:val="33805519"/>
    <w:rsid w:val="348E4659"/>
    <w:rsid w:val="35C12962"/>
    <w:rsid w:val="36FF3742"/>
    <w:rsid w:val="376E2676"/>
    <w:rsid w:val="37BB6FB7"/>
    <w:rsid w:val="38547ABE"/>
    <w:rsid w:val="3C766569"/>
    <w:rsid w:val="3D5A5C0C"/>
    <w:rsid w:val="40C1415E"/>
    <w:rsid w:val="40FC0CF2"/>
    <w:rsid w:val="4210330C"/>
    <w:rsid w:val="427D5E63"/>
    <w:rsid w:val="446608DC"/>
    <w:rsid w:val="45034D45"/>
    <w:rsid w:val="456F23DB"/>
    <w:rsid w:val="47971775"/>
    <w:rsid w:val="4B2652EA"/>
    <w:rsid w:val="4BB24DCF"/>
    <w:rsid w:val="4CCE3E8B"/>
    <w:rsid w:val="4D001B6A"/>
    <w:rsid w:val="4D012A99"/>
    <w:rsid w:val="4D487689"/>
    <w:rsid w:val="4D665B89"/>
    <w:rsid w:val="4D8B5466"/>
    <w:rsid w:val="4F5B0E4E"/>
    <w:rsid w:val="4FE24FA4"/>
    <w:rsid w:val="504D7564"/>
    <w:rsid w:val="5079609B"/>
    <w:rsid w:val="51A515E9"/>
    <w:rsid w:val="51B178D7"/>
    <w:rsid w:val="51CE2237"/>
    <w:rsid w:val="52BA27BB"/>
    <w:rsid w:val="53322599"/>
    <w:rsid w:val="540957A8"/>
    <w:rsid w:val="547C2864"/>
    <w:rsid w:val="54DF1185"/>
    <w:rsid w:val="54E51D72"/>
    <w:rsid w:val="54EF499E"/>
    <w:rsid w:val="551C3762"/>
    <w:rsid w:val="56C1236A"/>
    <w:rsid w:val="57052952"/>
    <w:rsid w:val="573E7E5F"/>
    <w:rsid w:val="583A0626"/>
    <w:rsid w:val="593B0D27"/>
    <w:rsid w:val="597B0817"/>
    <w:rsid w:val="59A463F8"/>
    <w:rsid w:val="59F36CDF"/>
    <w:rsid w:val="5A91312C"/>
    <w:rsid w:val="5AB3021C"/>
    <w:rsid w:val="5AC00B1C"/>
    <w:rsid w:val="5ADD34EB"/>
    <w:rsid w:val="5B490B80"/>
    <w:rsid w:val="5B561CFC"/>
    <w:rsid w:val="607D37A6"/>
    <w:rsid w:val="60813996"/>
    <w:rsid w:val="60AC51E3"/>
    <w:rsid w:val="60D57E91"/>
    <w:rsid w:val="614B3CD0"/>
    <w:rsid w:val="61D11962"/>
    <w:rsid w:val="62190B16"/>
    <w:rsid w:val="63846BFA"/>
    <w:rsid w:val="643530A3"/>
    <w:rsid w:val="65393A14"/>
    <w:rsid w:val="65670581"/>
    <w:rsid w:val="656D30A8"/>
    <w:rsid w:val="6599190F"/>
    <w:rsid w:val="66540B05"/>
    <w:rsid w:val="66F66060"/>
    <w:rsid w:val="672F1572"/>
    <w:rsid w:val="687E00BB"/>
    <w:rsid w:val="69432D82"/>
    <w:rsid w:val="699F653B"/>
    <w:rsid w:val="6D176D30"/>
    <w:rsid w:val="6E8E6096"/>
    <w:rsid w:val="6EC86534"/>
    <w:rsid w:val="70422898"/>
    <w:rsid w:val="717279BD"/>
    <w:rsid w:val="71CD20B4"/>
    <w:rsid w:val="72BB3CBA"/>
    <w:rsid w:val="730D2405"/>
    <w:rsid w:val="74510D7A"/>
    <w:rsid w:val="75137DDD"/>
    <w:rsid w:val="77114867"/>
    <w:rsid w:val="77A515F8"/>
    <w:rsid w:val="78283BC3"/>
    <w:rsid w:val="782B3690"/>
    <w:rsid w:val="79B6025F"/>
    <w:rsid w:val="7ACC4D3F"/>
    <w:rsid w:val="7ADA0446"/>
    <w:rsid w:val="7B077B3E"/>
    <w:rsid w:val="7CF36E72"/>
    <w:rsid w:val="7F957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Hyperlink"/>
    <w:basedOn w:val="7"/>
    <w:qFormat/>
    <w:uiPriority w:val="0"/>
    <w:rPr>
      <w:color w:val="0000FF"/>
      <w:u w:val="single"/>
    </w:rPr>
  </w:style>
  <w:style w:type="paragraph" w:customStyle="1" w:styleId="10">
    <w:name w:val="BodyTextIndent2"/>
    <w:basedOn w:val="1"/>
    <w:next w:val="1"/>
    <w:qFormat/>
    <w:uiPriority w:val="99"/>
    <w:pPr>
      <w:widowControl/>
      <w:textAlignment w:val="baseline"/>
    </w:pPr>
    <w:rPr>
      <w:rFonts w:ascii="仿宋_GB2312" w:hAnsi="仿宋_GB2312"/>
    </w:rPr>
  </w:style>
  <w:style w:type="paragraph" w:customStyle="1" w:styleId="11">
    <w:name w:val="正文文字"/>
    <w:basedOn w:val="1"/>
    <w:next w:val="1"/>
    <w:qFormat/>
    <w:uiPriority w:val="99"/>
    <w:pPr>
      <w:spacing w:after="120"/>
    </w:pPr>
  </w:style>
  <w:style w:type="character" w:customStyle="1" w:styleId="12">
    <w:name w:val="font31"/>
    <w:basedOn w:val="7"/>
    <w:qFormat/>
    <w:uiPriority w:val="0"/>
    <w:rPr>
      <w:rFonts w:hint="default" w:ascii="Times New Roman" w:hAnsi="Times New Roman" w:cs="Times New Roman"/>
      <w:b/>
      <w:bCs/>
      <w:color w:val="000000"/>
      <w:sz w:val="32"/>
      <w:szCs w:val="32"/>
      <w:u w:val="none"/>
    </w:rPr>
  </w:style>
  <w:style w:type="character" w:customStyle="1" w:styleId="13">
    <w:name w:val="font11"/>
    <w:basedOn w:val="7"/>
    <w:qFormat/>
    <w:uiPriority w:val="0"/>
    <w:rPr>
      <w:rFonts w:hint="eastAsia" w:ascii="楷体_GB2312" w:eastAsia="楷体_GB2312" w:cs="楷体_GB2312"/>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10250</Words>
  <Characters>10865</Characters>
  <Lines>81</Lines>
  <Paragraphs>22</Paragraphs>
  <TotalTime>7</TotalTime>
  <ScaleCrop>false</ScaleCrop>
  <LinksUpToDate>false</LinksUpToDate>
  <CharactersWithSpaces>10935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2023-03-12T09:12:00Z</dcterms:created>
  <dc:creator>user</dc:creator>
  <cp:lastModifiedBy>大行动家</cp:lastModifiedBy>
  <cp:lastPrinted>2023-03-12T09:11:00Z</cp:lastPrinted>
  <dcterms:modified xsi:type="dcterms:W3CDTF">2023-03-15T01:16:30Z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7313A5BC49044F19B6D65E2BFE33E713</vt:lpwstr>
  </property>
</Properties>
</file>