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rPr>
          <w:rFonts w:hint="eastAsia" w:ascii="方正小标宋简体" w:hAnsi="方正小标宋简体" w:eastAsia="黑体" w:cs="方正小标宋简体"/>
          <w:color w:val="000000"/>
          <w:kern w:val="0"/>
          <w:sz w:val="41"/>
          <w:szCs w:val="41"/>
          <w:lang w:val="en-US" w:eastAsia="zh-CN" w:bidi="ar"/>
        </w:rPr>
      </w:pPr>
      <w:r>
        <w:rPr>
          <w:rFonts w:hint="eastAsia" w:ascii="黑体" w:hAnsi="黑体" w:eastAsia="黑体"/>
          <w:sz w:val="32"/>
          <w:szCs w:val="32"/>
          <w:lang w:eastAsia="zh-CN"/>
        </w:rPr>
        <w:t>附件</w:t>
      </w:r>
      <w:bookmarkStart w:id="0" w:name="_GoBack"/>
      <w:bookmarkEnd w:id="0"/>
      <w:r>
        <w:rPr>
          <w:rFonts w:hint="eastAsia" w:ascii="黑体" w:hAnsi="黑体" w:eastAsia="黑体"/>
          <w:sz w:val="32"/>
          <w:szCs w:val="32"/>
          <w:lang w:val="en-US" w:eastAsia="zh-CN"/>
        </w:rPr>
        <w:t>4</w:t>
      </w: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ascii="方正小标宋简体" w:hAnsi="方正小标宋简体" w:eastAsia="方正小标宋简体" w:cs="方正小标宋简体"/>
          <w:color w:val="000000"/>
          <w:kern w:val="0"/>
          <w:sz w:val="41"/>
          <w:szCs w:val="41"/>
          <w:lang w:val="en-US" w:eastAsia="zh-CN" w:bidi="ar"/>
        </w:rPr>
      </w:pPr>
      <w:r>
        <w:rPr>
          <w:rFonts w:ascii="方正小标宋简体" w:hAnsi="方正小标宋简体" w:eastAsia="方正小标宋简体" w:cs="方正小标宋简体"/>
          <w:color w:val="000000"/>
          <w:kern w:val="0"/>
          <w:sz w:val="41"/>
          <w:szCs w:val="41"/>
          <w:lang w:val="en-US" w:eastAsia="zh-CN" w:bidi="ar"/>
        </w:rPr>
        <w:t>202</w:t>
      </w:r>
      <w:r>
        <w:rPr>
          <w:rFonts w:hint="default" w:ascii="方正小标宋简体" w:hAnsi="方正小标宋简体" w:eastAsia="方正小标宋简体" w:cs="方正小标宋简体"/>
          <w:color w:val="000000"/>
          <w:kern w:val="0"/>
          <w:sz w:val="41"/>
          <w:szCs w:val="41"/>
          <w:lang w:val="en" w:eastAsia="zh-CN" w:bidi="ar"/>
        </w:rPr>
        <w:t>2</w:t>
      </w:r>
      <w:r>
        <w:rPr>
          <w:rFonts w:ascii="方正小标宋简体" w:hAnsi="方正小标宋简体" w:eastAsia="方正小标宋简体" w:cs="方正小标宋简体"/>
          <w:color w:val="000000"/>
          <w:kern w:val="0"/>
          <w:sz w:val="41"/>
          <w:szCs w:val="41"/>
          <w:lang w:val="en-US" w:eastAsia="zh-CN" w:bidi="ar"/>
        </w:rPr>
        <w:t>年度市经济信息产业发展专项资金绩效</w:t>
      </w: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pPr>
      <w:r>
        <w:rPr>
          <w:rFonts w:ascii="方正小标宋简体" w:hAnsi="方正小标宋简体" w:eastAsia="方正小标宋简体" w:cs="方正小标宋简体"/>
          <w:color w:val="000000"/>
          <w:kern w:val="0"/>
          <w:sz w:val="41"/>
          <w:szCs w:val="41"/>
          <w:lang w:val="en-US" w:eastAsia="zh-CN" w:bidi="ar"/>
        </w:rPr>
        <w:t>自评报告</w:t>
      </w: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pPr>
      <w:r>
        <w:rPr>
          <w:rFonts w:hint="eastAsia" w:ascii="方正小标宋简体" w:hAnsi="方正小标宋简体" w:eastAsia="方正小标宋简体" w:cs="方正小标宋简体"/>
          <w:color w:val="000000"/>
          <w:kern w:val="0"/>
          <w:sz w:val="31"/>
          <w:szCs w:val="31"/>
          <w:lang w:val="en-US" w:eastAsia="zh-CN" w:bidi="ar"/>
        </w:rPr>
        <w:t>—信息发展专项</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20" w:firstLineChars="200"/>
        <w:jc w:val="both"/>
        <w:textAlignment w:val="auto"/>
      </w:pPr>
      <w:r>
        <w:rPr>
          <w:rFonts w:ascii="黑体" w:hAnsi="宋体" w:eastAsia="黑体" w:cs="黑体"/>
          <w:color w:val="000000"/>
          <w:kern w:val="0"/>
          <w:sz w:val="31"/>
          <w:szCs w:val="31"/>
          <w:lang w:val="en-US" w:eastAsia="zh-CN" w:bidi="ar"/>
        </w:rPr>
        <w:t>一、预算收支出情况</w:t>
      </w:r>
      <w:r>
        <w:rPr>
          <w:rFonts w:ascii="楷体" w:hAnsi="楷体" w:eastAsia="楷体" w:cs="楷体"/>
          <w:b/>
          <w:bCs/>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20" w:firstLineChars="200"/>
        <w:jc w:val="both"/>
        <w:textAlignment w:val="auto"/>
      </w:pPr>
      <w:r>
        <w:rPr>
          <w:rFonts w:ascii="仿宋" w:hAnsi="仿宋" w:eastAsia="仿宋" w:cs="仿宋"/>
          <w:color w:val="000000"/>
          <w:kern w:val="0"/>
          <w:sz w:val="31"/>
          <w:szCs w:val="31"/>
          <w:lang w:val="en-US" w:eastAsia="zh-CN" w:bidi="ar"/>
        </w:rPr>
        <w:t>202</w:t>
      </w:r>
      <w:r>
        <w:rPr>
          <w:rFonts w:hint="eastAsia" w:ascii="仿宋" w:hAnsi="仿宋" w:eastAsia="仿宋" w:cs="仿宋"/>
          <w:color w:val="000000"/>
          <w:kern w:val="0"/>
          <w:sz w:val="31"/>
          <w:szCs w:val="31"/>
          <w:lang w:val="en-US" w:eastAsia="zh-CN" w:bidi="ar"/>
        </w:rPr>
        <w:t>2</w:t>
      </w:r>
      <w:r>
        <w:rPr>
          <w:rFonts w:ascii="仿宋" w:hAnsi="仿宋" w:eastAsia="仿宋" w:cs="仿宋"/>
          <w:color w:val="000000"/>
          <w:kern w:val="0"/>
          <w:sz w:val="31"/>
          <w:szCs w:val="31"/>
          <w:lang w:val="en-US" w:eastAsia="zh-CN" w:bidi="ar"/>
        </w:rPr>
        <w:t>年预算收入</w:t>
      </w:r>
      <w:r>
        <w:rPr>
          <w:rFonts w:hint="eastAsia" w:ascii="仿宋" w:hAnsi="仿宋" w:eastAsia="仿宋" w:cs="仿宋"/>
          <w:color w:val="000000"/>
          <w:kern w:val="0"/>
          <w:sz w:val="31"/>
          <w:szCs w:val="31"/>
          <w:lang w:val="en-US" w:eastAsia="zh-CN" w:bidi="ar"/>
        </w:rPr>
        <w:t>550</w:t>
      </w:r>
      <w:r>
        <w:rPr>
          <w:rFonts w:ascii="仿宋" w:hAnsi="仿宋" w:eastAsia="仿宋" w:cs="仿宋"/>
          <w:color w:val="000000"/>
          <w:kern w:val="0"/>
          <w:sz w:val="31"/>
          <w:szCs w:val="31"/>
          <w:lang w:val="en-US" w:eastAsia="zh-CN" w:bidi="ar"/>
        </w:rPr>
        <w:t xml:space="preserve">万元，其中年初预算 </w:t>
      </w:r>
      <w:r>
        <w:rPr>
          <w:rFonts w:hint="eastAsia" w:ascii="仿宋" w:hAnsi="仿宋" w:eastAsia="仿宋" w:cs="仿宋"/>
          <w:color w:val="000000"/>
          <w:kern w:val="0"/>
          <w:sz w:val="31"/>
          <w:szCs w:val="31"/>
          <w:lang w:val="en-US" w:eastAsia="zh-CN" w:bidi="ar"/>
        </w:rPr>
        <w:t>550</w:t>
      </w:r>
      <w:r>
        <w:rPr>
          <w:rFonts w:ascii="仿宋" w:hAnsi="仿宋" w:eastAsia="仿宋" w:cs="仿宋"/>
          <w:color w:val="000000"/>
          <w:kern w:val="0"/>
          <w:sz w:val="31"/>
          <w:szCs w:val="31"/>
          <w:lang w:val="en-US" w:eastAsia="zh-CN" w:bidi="ar"/>
        </w:rPr>
        <w:t xml:space="preserve">万元。 </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20" w:firstLineChars="200"/>
        <w:jc w:val="both"/>
        <w:textAlignment w:val="auto"/>
      </w:pPr>
      <w:r>
        <w:rPr>
          <w:rFonts w:hint="eastAsia" w:ascii="仿宋" w:hAnsi="仿宋" w:eastAsia="仿宋" w:cs="仿宋"/>
          <w:color w:val="000000"/>
          <w:kern w:val="0"/>
          <w:sz w:val="31"/>
          <w:szCs w:val="31"/>
          <w:lang w:val="en-US" w:eastAsia="zh-CN" w:bidi="ar"/>
        </w:rPr>
        <w:t xml:space="preserve">2022年支出550万元。 </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20" w:firstLineChars="200"/>
        <w:jc w:val="both"/>
        <w:textAlignment w:val="auto"/>
      </w:pPr>
      <w:r>
        <w:rPr>
          <w:rFonts w:hint="eastAsia" w:ascii="黑体" w:hAnsi="宋体" w:eastAsia="黑体" w:cs="黑体"/>
          <w:color w:val="000000"/>
          <w:kern w:val="0"/>
          <w:sz w:val="31"/>
          <w:szCs w:val="31"/>
          <w:lang w:val="en-US" w:eastAsia="zh-CN" w:bidi="ar"/>
        </w:rPr>
        <w:t>二、项目支出绩效情况</w:t>
      </w:r>
      <w:r>
        <w:rPr>
          <w:rFonts w:hint="eastAsia" w:ascii="楷体" w:hAnsi="楷体" w:eastAsia="楷体" w:cs="楷体"/>
          <w:b/>
          <w:bCs/>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20" w:firstLineChars="200"/>
        <w:jc w:val="both"/>
        <w:textAlignment w:val="auto"/>
        <w:rPr>
          <w:rFonts w:hint="eastAsia" w:ascii="仿宋" w:hAnsi="仿宋" w:eastAsia="仿宋" w:cs="仿宋"/>
          <w:color w:val="000000"/>
          <w:kern w:val="0"/>
          <w:sz w:val="31"/>
          <w:szCs w:val="31"/>
          <w:rtl w:val="0"/>
          <w:lang w:val="en-US" w:eastAsia="zh-CN" w:bidi="ar"/>
        </w:rPr>
      </w:pPr>
      <w:r>
        <w:rPr>
          <w:rFonts w:hint="eastAsia" w:ascii="仿宋" w:hAnsi="仿宋" w:eastAsia="仿宋" w:cs="仿宋"/>
          <w:color w:val="000000"/>
          <w:kern w:val="0"/>
          <w:sz w:val="31"/>
          <w:szCs w:val="31"/>
          <w:lang w:val="en-US" w:eastAsia="zh-CN" w:bidi="ar"/>
        </w:rPr>
        <w:t xml:space="preserve">2022年园区建设专项支出550万元，主要用于支出：与运营商签订发送触发式疫情防控短信经费20万元；继续与营商签订发送触发式疫情防控短信经费55万元；全国工业APP和信息消费大赛250万元；北斗和5G应用场景项目等奖励100万元；上云上平台（“四个一批”）100万元；信创两图两库两池两报告编制经费30万元。项目实施及绩效情况如下： </w:t>
      </w:r>
      <w:r>
        <w:rPr>
          <w:rFonts w:hint="eastAsia" w:ascii="仿宋" w:hAnsi="仿宋" w:eastAsia="仿宋" w:cs="仿宋"/>
          <w:color w:val="000000"/>
          <w:kern w:val="0"/>
          <w:sz w:val="31"/>
          <w:szCs w:val="31"/>
          <w:rtl w:val="0"/>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 w:hAnsi="仿宋" w:eastAsia="仿宋" w:cs="仿宋"/>
          <w:color w:val="000000"/>
          <w:kern w:val="0"/>
          <w:sz w:val="31"/>
          <w:szCs w:val="31"/>
          <w:rtl w:val="0"/>
          <w:lang w:val="en-US" w:eastAsia="zh-CN" w:bidi="ar"/>
        </w:rPr>
      </w:pPr>
      <w:r>
        <w:rPr>
          <w:rFonts w:hint="eastAsia" w:ascii="仿宋" w:hAnsi="仿宋" w:eastAsia="仿宋" w:cs="仿宋"/>
          <w:color w:val="000000"/>
          <w:kern w:val="0"/>
          <w:sz w:val="31"/>
          <w:szCs w:val="31"/>
          <w:rtl w:val="0"/>
          <w:lang w:val="en-US" w:eastAsia="zh-CN" w:bidi="ar"/>
        </w:rPr>
        <w:t xml:space="preserve">    </w:t>
      </w:r>
      <w:r>
        <w:rPr>
          <w:rFonts w:hint="eastAsia" w:ascii="楷体_GB2312" w:hAnsi="楷体_GB2312" w:eastAsia="楷体_GB2312" w:cs="楷体_GB2312"/>
          <w:b/>
          <w:bCs/>
          <w:color w:val="000000"/>
          <w:kern w:val="0"/>
          <w:sz w:val="32"/>
          <w:szCs w:val="32"/>
          <w:rtl w:val="0"/>
          <w:lang w:val="en-US" w:eastAsia="zh-CN" w:bidi="ar"/>
        </w:rPr>
        <w:t>（一）产业规模不断壮大。</w:t>
      </w:r>
      <w:r>
        <w:rPr>
          <w:rFonts w:hint="eastAsia" w:ascii="仿宋" w:hAnsi="仿宋" w:eastAsia="仿宋" w:cs="仿宋"/>
          <w:color w:val="000000"/>
          <w:kern w:val="0"/>
          <w:sz w:val="31"/>
          <w:szCs w:val="31"/>
          <w:rtl w:val="0"/>
          <w:lang w:val="en-US" w:eastAsia="zh-CN" w:bidi="ar"/>
        </w:rPr>
        <w:t>2022年度，株洲市共有电子信息制造业企业近300家，其中规上109家，占全市规模工业企业总数的5.6%，从业人员3.3万人。2022年，规上电子信息制造业营收总额377.16亿元，增速6.7%。其中株洲中车时代电气股份有限公司增速24.64%；株洲麦格米特电气有限责任公司增速35.28%；株洲中车时代半导体有限公司增速73.62%。2022年重点建设电子信息项目39个，总投资541.72亿元，其中北斗产业园项目投资100亿元，中低压功率器件产业化（株洲）建设项目投资52.9亿元。成功引进宏工智能自动化装备、中车商用车电驱、中车株洲所时代能源事业部（分公司）等亿元以上项目9个。时代新材入围国家级2022年新一代信息技术与制造业融合发展试点示范名单。2022年9月6日，省工信厅公示湖南省制造业质量管理数字化优秀应用场景和典型应用场景名单，全市共有8个场景入选，数量居全省第二。宏达电子入选中国电子元件企业百强榜，位列26位。</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    </w:t>
      </w:r>
      <w:r>
        <w:rPr>
          <w:rFonts w:hint="eastAsia" w:ascii="楷体_GB2312" w:hAnsi="楷体_GB2312" w:eastAsia="楷体_GB2312" w:cs="楷体_GB2312"/>
          <w:b/>
          <w:bCs/>
          <w:color w:val="000000"/>
          <w:kern w:val="0"/>
          <w:sz w:val="32"/>
          <w:szCs w:val="32"/>
          <w:lang w:val="en-US" w:eastAsia="zh-CN" w:bidi="ar"/>
        </w:rPr>
        <w:t xml:space="preserve"> （二）算力支撑强健有力。</w:t>
      </w:r>
      <w:r>
        <w:rPr>
          <w:rFonts w:hint="eastAsia" w:ascii="仿宋" w:hAnsi="仿宋" w:eastAsia="仿宋" w:cs="仿宋"/>
          <w:color w:val="000000"/>
          <w:kern w:val="0"/>
          <w:sz w:val="31"/>
          <w:szCs w:val="31"/>
          <w:lang w:val="en-US" w:eastAsia="zh-CN" w:bidi="ar"/>
        </w:rPr>
        <w:t>中南地区最大数据中心——中国移动（湖南株洲）数据中心计算能力达200万核，存储能力达300PB，可为10万家企业客户提供不间断服务，阿里、腾讯、百度、华为、浪潮等服务商已签约进驻。株洲数据中心承载了移动云、网络云、一级IT云等中国移动集团业务，已成为中国移动省级BOSS/CRM系统华南节点，大数据1+N边缘节点，同时支撑了株洲市“雪亮工程”等政府业务平台入住。2022年，湖南移动全面启动中国移动（湖南株洲）数据中心二期土建工程建设，建成可提供约0.64万架的装机能力，增加基础设施投资约9亿元。能够全面满足企业自身以及省内、全国乃至全球行业客户对数据中心资源与应用能力的需求，为全省5G网络和光纤网络快速发展提供最广泛、最坚实的基础设施资源。中国华录湖南数据湖产业园正在建设约1500PB光磁一体存储能力的城市数据湖基础设施，以及国内第二条、世界第五条的蓝光光盘生产线。截至2022年已建成977个机柜、2600核云资源，可提供328PB光存储、20PB磁存储服务能力；预计全部建成后机架数达4000个，算力值达10（Pflops），存储值达1500（PB)。目前服务涵盖政务、公安、教育、科技、文化等领域。全市累计建成8341个机架，形成868PB以上的储存能力，112万核的计算能力。时代电气大功率半导体器件产业化项目在全国处于领先地位，已经建成国内首条8英寸大功率半导体生产线。中国移动（湖南株洲）数据中心、湖南数据湖产业园数据中心入围湖南省算力支撑重点建设15个新型数据中心。</w:t>
      </w: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ascii="仿宋" w:hAnsi="仿宋" w:eastAsia="仿宋" w:cs="仿宋"/>
          <w:color w:val="000000"/>
          <w:kern w:val="0"/>
          <w:sz w:val="31"/>
          <w:szCs w:val="31"/>
          <w:lang w:val="en-US" w:eastAsia="zh-CN" w:bidi="ar"/>
        </w:rPr>
      </w:pPr>
      <w:r>
        <w:rPr>
          <w:rFonts w:hint="eastAsia" w:ascii="楷体_GB2312" w:hAnsi="楷体_GB2312" w:eastAsia="楷体_GB2312" w:cs="楷体_GB2312"/>
          <w:b/>
          <w:bCs/>
          <w:color w:val="000000"/>
          <w:kern w:val="0"/>
          <w:sz w:val="32"/>
          <w:szCs w:val="32"/>
          <w:lang w:val="en-US" w:eastAsia="zh-CN" w:bidi="ar"/>
        </w:rPr>
        <w:t xml:space="preserve">    （三）创新能力显著提高。</w:t>
      </w:r>
      <w:r>
        <w:rPr>
          <w:rFonts w:hint="eastAsia" w:ascii="仿宋" w:hAnsi="仿宋" w:eastAsia="仿宋" w:cs="仿宋"/>
          <w:color w:val="000000"/>
          <w:kern w:val="0"/>
          <w:sz w:val="31"/>
          <w:szCs w:val="31"/>
          <w:lang w:val="en-US" w:eastAsia="zh-CN" w:bidi="ar"/>
        </w:rPr>
        <w:t>2022年，湖南凯睿思新材料科技有限公司的凯睿思覆铜板新材料（一期）、株洲火炬安泰新材料有限公司的AMOLED工艺用ITO靶材项目入选省电子信息制造业重点项目名单；电力电子器件及应用入围省级集群培育名单，集群数量全省第一；新增省级数字化转型专项25个，移动大数据中心、华录数据湖投入运营。功率半导体集成技术、重载快捷大功率电力机车2家全国重点实验室正式获批，欧科亿、华锐精密获批国家级博士后科研工作站。株洲市入选国家知识产权强市建设试点城市、全国IPv6技术创新和融合应用试点城市。半导体等领域一批自主创新成果填补国内空白。</w:t>
      </w:r>
    </w:p>
    <w:p>
      <w:pPr>
        <w:widowControl/>
        <w:spacing w:line="600" w:lineRule="exact"/>
        <w:jc w:val="center"/>
        <w:rPr>
          <w:rFonts w:hint="eastAsia" w:ascii="方正大标宋简体" w:eastAsia="方正大标宋简体"/>
          <w:color w:val="000000"/>
          <w:sz w:val="36"/>
          <w:szCs w:val="36"/>
        </w:rPr>
      </w:pPr>
    </w:p>
    <w:p>
      <w:pPr>
        <w:widowControl/>
        <w:spacing w:line="600" w:lineRule="exact"/>
        <w:jc w:val="center"/>
        <w:rPr>
          <w:rFonts w:hint="eastAsia" w:ascii="方正大标宋简体" w:eastAsia="方正大标宋简体"/>
          <w:color w:val="000000"/>
          <w:sz w:val="36"/>
          <w:szCs w:val="36"/>
        </w:rPr>
      </w:pPr>
    </w:p>
    <w:p>
      <w:pPr>
        <w:widowControl/>
        <w:spacing w:line="600" w:lineRule="exact"/>
        <w:jc w:val="center"/>
        <w:rPr>
          <w:rFonts w:hint="eastAsia" w:ascii="方正大标宋简体" w:eastAsia="方正大标宋简体"/>
          <w:color w:val="000000"/>
          <w:sz w:val="36"/>
          <w:szCs w:val="36"/>
        </w:rPr>
      </w:pPr>
    </w:p>
    <w:p>
      <w:pPr>
        <w:widowControl/>
        <w:spacing w:line="600" w:lineRule="exact"/>
        <w:jc w:val="center"/>
        <w:rPr>
          <w:rFonts w:hint="eastAsia" w:ascii="方正大标宋简体" w:eastAsia="方正大标宋简体"/>
          <w:color w:val="000000"/>
          <w:sz w:val="36"/>
          <w:szCs w:val="36"/>
        </w:rPr>
      </w:pPr>
    </w:p>
    <w:p>
      <w:pPr>
        <w:widowControl/>
        <w:spacing w:line="600" w:lineRule="exact"/>
        <w:jc w:val="center"/>
        <w:rPr>
          <w:rFonts w:hint="eastAsia" w:ascii="方正大标宋简体" w:eastAsia="方正大标宋简体"/>
          <w:color w:val="000000"/>
          <w:sz w:val="36"/>
          <w:szCs w:val="36"/>
        </w:rPr>
      </w:pPr>
      <w:r>
        <w:rPr>
          <w:rFonts w:hint="eastAsia" w:ascii="方正大标宋简体" w:eastAsia="方正大标宋简体"/>
          <w:color w:val="000000"/>
          <w:sz w:val="36"/>
          <w:szCs w:val="36"/>
        </w:rPr>
        <w:t>2022年度项目支出绩效自评表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sz w:val="20"/>
                <w:szCs w:val="20"/>
              </w:rPr>
            </w:pPr>
            <w:r>
              <w:rPr>
                <w:rFonts w:eastAsia="仿宋_GB2312"/>
                <w:color w:val="000000"/>
                <w:sz w:val="20"/>
                <w:szCs w:val="20"/>
              </w:rPr>
              <w:t>项目支</w:t>
            </w:r>
          </w:p>
          <w:p>
            <w:pPr>
              <w:widowControl/>
              <w:spacing w:line="260" w:lineRule="exact"/>
              <w:jc w:val="center"/>
              <w:rPr>
                <w:rFonts w:eastAsia="仿宋_GB2312"/>
                <w:color w:val="000000"/>
                <w:sz w:val="20"/>
                <w:szCs w:val="20"/>
              </w:rPr>
            </w:pPr>
            <w:r>
              <w:rPr>
                <w:rFonts w:eastAsia="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sz w:val="20"/>
                <w:szCs w:val="20"/>
              </w:rPr>
            </w:pPr>
            <w:r>
              <w:rPr>
                <w:rFonts w:hint="eastAsia" w:eastAsia="仿宋_GB2312"/>
                <w:color w:val="000000"/>
                <w:sz w:val="20"/>
                <w:szCs w:val="20"/>
                <w:lang w:eastAsia="zh-CN"/>
              </w:rPr>
              <w:t>信息发展专项</w:t>
            </w: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sz w:val="20"/>
                <w:szCs w:val="20"/>
                <w:lang w:eastAsia="zh-CN"/>
              </w:rPr>
            </w:pPr>
            <w:r>
              <w:rPr>
                <w:rFonts w:eastAsia="仿宋_GB2312"/>
                <w:color w:val="000000"/>
                <w:sz w:val="20"/>
                <w:szCs w:val="20"/>
              </w:rPr>
              <w:t>　</w:t>
            </w:r>
            <w:r>
              <w:rPr>
                <w:rFonts w:hint="eastAsia" w:eastAsia="仿宋_GB2312"/>
                <w:color w:val="000000"/>
                <w:sz w:val="20"/>
                <w:szCs w:val="20"/>
                <w:lang w:eastAsia="zh-CN"/>
              </w:rPr>
              <w:t>株洲市工业和信息化局</w:t>
            </w:r>
          </w:p>
        </w:tc>
        <w:tc>
          <w:tcPr>
            <w:tcW w:w="1134" w:type="dxa"/>
            <w:tcBorders>
              <w:top w:val="single" w:color="auto" w:sz="4" w:space="0"/>
              <w:left w:val="nil"/>
              <w:bottom w:val="single" w:color="auto" w:sz="4" w:space="0"/>
              <w:right w:val="single" w:color="000000" w:sz="4" w:space="0"/>
            </w:tcBorders>
            <w:noWrap w:val="0"/>
            <w:vAlign w:val="center"/>
          </w:tcPr>
          <w:p>
            <w:pPr>
              <w:widowControl/>
              <w:jc w:val="center"/>
              <w:rPr>
                <w:rFonts w:eastAsia="仿宋_GB2312"/>
                <w:color w:val="000000"/>
                <w:sz w:val="20"/>
                <w:szCs w:val="20"/>
              </w:rPr>
            </w:pPr>
            <w:r>
              <w:rPr>
                <w:rFonts w:eastAsia="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sz w:val="20"/>
                <w:szCs w:val="20"/>
                <w:lang w:eastAsia="zh-CN"/>
              </w:rPr>
            </w:pPr>
            <w:r>
              <w:rPr>
                <w:rFonts w:eastAsia="仿宋_GB2312"/>
                <w:color w:val="000000"/>
                <w:sz w:val="20"/>
                <w:szCs w:val="20"/>
              </w:rPr>
              <w:t>　</w:t>
            </w:r>
            <w:r>
              <w:rPr>
                <w:rFonts w:hint="eastAsia" w:eastAsia="仿宋_GB2312"/>
                <w:color w:val="000000"/>
                <w:sz w:val="20"/>
                <w:szCs w:val="20"/>
                <w:lang w:eastAsia="zh-CN"/>
              </w:rPr>
              <w:t>电子通信和软件产业科</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eastAsia="仿宋_GB2312"/>
                <w:color w:val="000000"/>
                <w:sz w:val="20"/>
                <w:szCs w:val="20"/>
              </w:rPr>
            </w:pPr>
            <w:r>
              <w:rPr>
                <w:rFonts w:eastAsia="仿宋_GB2312"/>
                <w:color w:val="000000"/>
                <w:sz w:val="20"/>
                <w:szCs w:val="20"/>
              </w:rPr>
              <w:t>项目资金</w:t>
            </w:r>
          </w:p>
          <w:p>
            <w:pPr>
              <w:widowControl/>
              <w:jc w:val="center"/>
              <w:rPr>
                <w:rFonts w:eastAsia="仿宋_GB2312"/>
                <w:color w:val="000000"/>
                <w:sz w:val="20"/>
                <w:szCs w:val="20"/>
              </w:rPr>
            </w:pPr>
            <w:r>
              <w:rPr>
                <w:rFonts w:eastAsia="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年初</w:t>
            </w:r>
          </w:p>
          <w:p>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全年</w:t>
            </w:r>
          </w:p>
          <w:p>
            <w:pPr>
              <w:widowControl/>
              <w:jc w:val="center"/>
              <w:rPr>
                <w:rFonts w:eastAsia="仿宋_GB2312"/>
                <w:color w:val="000000"/>
                <w:sz w:val="20"/>
                <w:szCs w:val="20"/>
              </w:rPr>
            </w:pPr>
            <w:r>
              <w:rPr>
                <w:rFonts w:eastAsia="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jc w:val="center"/>
              <w:rPr>
                <w:rFonts w:eastAsia="仿宋_GB2312"/>
                <w:sz w:val="20"/>
                <w:szCs w:val="20"/>
              </w:rPr>
            </w:pPr>
            <w:r>
              <w:rPr>
                <w:rFonts w:eastAsia="仿宋_GB2312"/>
                <w:sz w:val="20"/>
                <w:szCs w:val="20"/>
              </w:rPr>
              <w:t>全年</w:t>
            </w:r>
          </w:p>
          <w:p>
            <w:pPr>
              <w:jc w:val="center"/>
              <w:rPr>
                <w:rFonts w:eastAsia="仿宋_GB2312"/>
                <w:sz w:val="20"/>
                <w:szCs w:val="20"/>
              </w:rPr>
            </w:pPr>
            <w:r>
              <w:rPr>
                <w:rFonts w:eastAsia="仿宋_GB2312"/>
                <w:sz w:val="20"/>
                <w:szCs w:val="20"/>
              </w:rPr>
              <w:t>执行数</w:t>
            </w:r>
          </w:p>
        </w:tc>
        <w:tc>
          <w:tcPr>
            <w:tcW w:w="828" w:type="dxa"/>
            <w:tcBorders>
              <w:top w:val="nil"/>
              <w:left w:val="nil"/>
              <w:bottom w:val="single" w:color="auto" w:sz="4" w:space="0"/>
              <w:right w:val="single" w:color="auto" w:sz="4" w:space="0"/>
            </w:tcBorders>
            <w:noWrap w:val="0"/>
            <w:vAlign w:val="center"/>
          </w:tcPr>
          <w:p>
            <w:pPr>
              <w:jc w:val="center"/>
              <w:rPr>
                <w:rFonts w:eastAsia="仿宋_GB2312"/>
                <w:sz w:val="20"/>
                <w:szCs w:val="20"/>
              </w:rPr>
            </w:pPr>
            <w:r>
              <w:rPr>
                <w:rFonts w:eastAsia="仿宋_GB2312"/>
                <w:sz w:val="20"/>
                <w:szCs w:val="20"/>
              </w:rPr>
              <w:t>分值</w:t>
            </w:r>
          </w:p>
        </w:tc>
        <w:tc>
          <w:tcPr>
            <w:tcW w:w="873" w:type="dxa"/>
            <w:tcBorders>
              <w:top w:val="nil"/>
              <w:left w:val="nil"/>
              <w:bottom w:val="single" w:color="auto" w:sz="4" w:space="0"/>
              <w:right w:val="single" w:color="auto" w:sz="4" w:space="0"/>
            </w:tcBorders>
            <w:noWrap w:val="0"/>
            <w:vAlign w:val="center"/>
          </w:tcPr>
          <w:p>
            <w:pPr>
              <w:jc w:val="center"/>
              <w:rPr>
                <w:rFonts w:eastAsia="仿宋_GB2312"/>
                <w:sz w:val="20"/>
                <w:szCs w:val="20"/>
              </w:rPr>
            </w:pPr>
            <w:r>
              <w:rPr>
                <w:rFonts w:eastAsia="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jc w:val="center"/>
              <w:rPr>
                <w:rFonts w:eastAsia="仿宋_GB2312"/>
                <w:sz w:val="20"/>
                <w:szCs w:val="20"/>
              </w:rPr>
            </w:pPr>
            <w:r>
              <w:rPr>
                <w:rFonts w:eastAsia="仿宋_GB2312"/>
                <w:sz w:val="20"/>
                <w:szCs w:val="20"/>
              </w:rPr>
              <w:t>得分</w:t>
            </w:r>
          </w:p>
        </w:tc>
      </w:tr>
      <w:tr>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550</w:t>
            </w:r>
          </w:p>
        </w:tc>
        <w:tc>
          <w:tcPr>
            <w:tcW w:w="1134"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550</w:t>
            </w:r>
          </w:p>
        </w:tc>
        <w:tc>
          <w:tcPr>
            <w:tcW w:w="1134"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550</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550</w:t>
            </w:r>
          </w:p>
        </w:tc>
        <w:tc>
          <w:tcPr>
            <w:tcW w:w="1134"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kern w:val="2"/>
                <w:sz w:val="20"/>
                <w:szCs w:val="20"/>
                <w:lang w:val="en-US" w:eastAsia="zh-CN" w:bidi="ar-SA"/>
              </w:rPr>
            </w:pPr>
            <w:r>
              <w:rPr>
                <w:rFonts w:eastAsia="仿宋_GB2312"/>
                <w:color w:val="000000"/>
                <w:sz w:val="20"/>
                <w:szCs w:val="20"/>
              </w:rPr>
              <w:t>　</w:t>
            </w:r>
            <w:r>
              <w:rPr>
                <w:rFonts w:hint="eastAsia" w:eastAsia="仿宋_GB2312"/>
                <w:color w:val="000000"/>
                <w:sz w:val="20"/>
                <w:szCs w:val="20"/>
                <w:lang w:val="en-US" w:eastAsia="zh-CN"/>
              </w:rPr>
              <w:t>550</w:t>
            </w:r>
          </w:p>
        </w:tc>
        <w:tc>
          <w:tcPr>
            <w:tcW w:w="1134"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kern w:val="2"/>
                <w:sz w:val="20"/>
                <w:szCs w:val="20"/>
                <w:lang w:val="en-US" w:eastAsia="zh-CN" w:bidi="ar-SA"/>
              </w:rPr>
            </w:pPr>
            <w:r>
              <w:rPr>
                <w:rFonts w:eastAsia="仿宋_GB2312"/>
                <w:color w:val="000000"/>
                <w:sz w:val="20"/>
                <w:szCs w:val="20"/>
              </w:rPr>
              <w:t>　</w:t>
            </w:r>
            <w:r>
              <w:rPr>
                <w:rFonts w:hint="eastAsia" w:eastAsia="仿宋_GB2312"/>
                <w:color w:val="000000"/>
                <w:sz w:val="20"/>
                <w:szCs w:val="20"/>
                <w:lang w:val="en-US" w:eastAsia="zh-CN"/>
              </w:rPr>
              <w:t>550</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kern w:val="2"/>
                <w:sz w:val="20"/>
                <w:szCs w:val="20"/>
                <w:lang w:val="en-US" w:eastAsia="zh-CN" w:bidi="ar-SA"/>
              </w:rPr>
            </w:pPr>
            <w:r>
              <w:rPr>
                <w:rFonts w:eastAsia="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kern w:val="2"/>
                <w:sz w:val="20"/>
                <w:szCs w:val="20"/>
                <w:lang w:val="en-US" w:eastAsia="zh-CN" w:bidi="ar-SA"/>
              </w:rPr>
            </w:pPr>
            <w:r>
              <w:rPr>
                <w:rFonts w:eastAsia="仿宋_GB2312"/>
                <w:color w:val="000000"/>
                <w:sz w:val="20"/>
                <w:szCs w:val="20"/>
              </w:rPr>
              <w:t>　</w:t>
            </w:r>
            <w:r>
              <w:rPr>
                <w:rFonts w:hint="eastAsia" w:eastAsia="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kern w:val="2"/>
                <w:sz w:val="20"/>
                <w:szCs w:val="20"/>
                <w:lang w:val="en-US" w:eastAsia="zh-CN" w:bidi="ar-SA"/>
              </w:rPr>
            </w:pPr>
            <w:r>
              <w:rPr>
                <w:rFonts w:eastAsia="仿宋_GB2312"/>
                <w:color w:val="000000"/>
                <w:sz w:val="20"/>
                <w:szCs w:val="20"/>
              </w:rPr>
              <w:t>　</w:t>
            </w:r>
            <w:r>
              <w:rPr>
                <w:rFonts w:hint="eastAsia" w:eastAsia="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eastAsia="仿宋_GB2312"/>
                <w:color w:val="000000"/>
                <w:sz w:val="20"/>
                <w:szCs w:val="20"/>
              </w:rPr>
            </w:pPr>
            <w:r>
              <w:rPr>
                <w:rFonts w:eastAsia="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widowControl/>
              <w:jc w:val="left"/>
              <w:rPr>
                <w:rFonts w:hint="eastAsia"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widowControl/>
              <w:ind w:firstLine="600" w:firstLineChars="300"/>
              <w:jc w:val="left"/>
              <w:rPr>
                <w:rFonts w:eastAsia="仿宋_GB2312"/>
                <w:color w:val="000000"/>
                <w:sz w:val="20"/>
                <w:szCs w:val="20"/>
              </w:rPr>
            </w:pPr>
            <w:r>
              <w:rPr>
                <w:rFonts w:eastAsia="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widowControl/>
              <w:jc w:val="left"/>
              <w:rPr>
                <w:rFonts w:hint="eastAsia"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0</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widowControl/>
              <w:jc w:val="center"/>
              <w:rPr>
                <w:rFonts w:eastAsia="仿宋_GB2312"/>
                <w:color w:val="000000"/>
                <w:sz w:val="20"/>
                <w:szCs w:val="20"/>
              </w:rPr>
            </w:pPr>
            <w:r>
              <w:rPr>
                <w:rFonts w:eastAsia="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widowControl/>
              <w:jc w:val="center"/>
              <w:rPr>
                <w:rFonts w:eastAsia="仿宋_GB2312"/>
                <w:color w:val="000000"/>
                <w:sz w:val="20"/>
                <w:szCs w:val="20"/>
              </w:rPr>
            </w:pPr>
            <w:r>
              <w:rPr>
                <w:rFonts w:hint="eastAsia" w:eastAsia="仿宋_GB2312"/>
                <w:color w:val="000000"/>
                <w:sz w:val="20"/>
                <w:szCs w:val="20"/>
              </w:rPr>
              <w:t>全力推进电子信息产业规模化、特色化、高端化发展，将电子信息产业打造成为株洲经济发展的重要支柱、产业发展的助推器。</w:t>
            </w:r>
            <w:r>
              <w:rPr>
                <w:rFonts w:hint="eastAsia" w:eastAsia="仿宋_GB2312"/>
                <w:color w:val="000000"/>
                <w:sz w:val="20"/>
                <w:szCs w:val="20"/>
                <w:lang w:eastAsia="zh-CN"/>
              </w:rPr>
              <w:t>电子信息制造业总营收迈上</w:t>
            </w:r>
            <w:r>
              <w:rPr>
                <w:rFonts w:hint="eastAsia" w:eastAsia="仿宋_GB2312"/>
                <w:color w:val="000000"/>
                <w:sz w:val="20"/>
                <w:szCs w:val="20"/>
                <w:lang w:val="en-US" w:eastAsia="zh-CN"/>
              </w:rPr>
              <w:t>300亿台阶。</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2022年，株洲全市规模以上电子信息制造企业109家，共实现产值403.9亿元，同比增长10.2%</w:t>
            </w:r>
            <w:r>
              <w:rPr>
                <w:rFonts w:hint="eastAsia" w:eastAsia="仿宋_GB2312"/>
                <w:color w:val="000000"/>
                <w:sz w:val="20"/>
                <w:szCs w:val="20"/>
                <w:lang w:eastAsia="zh-CN"/>
              </w:rPr>
              <w:t>，营收</w:t>
            </w:r>
            <w:r>
              <w:rPr>
                <w:rFonts w:hint="eastAsia" w:eastAsia="仿宋_GB2312"/>
                <w:color w:val="000000"/>
                <w:sz w:val="20"/>
                <w:szCs w:val="20"/>
                <w:lang w:val="en-US" w:eastAsia="zh-CN"/>
              </w:rPr>
              <w:t>377.16亿元，增速6.7%</w:t>
            </w:r>
            <w:r>
              <w:rPr>
                <w:rFonts w:hint="eastAsia" w:eastAsia="仿宋_GB2312"/>
                <w:color w:val="000000"/>
                <w:sz w:val="20"/>
                <w:szCs w:val="20"/>
              </w:rPr>
              <w:t>。主要成效：一是信息基础设施不断完善。全市城镇光纤覆盖达到100%，行政村光纤通达率达到98%以上；实现所有城镇用户宽带接入能力100Mbps以上，总体实现用户接入能力和用户接入速率双翻番。二是自主研发能力显著提高。半导体等领域一批自主创新成果填补国内空白。湖南长城计算机系统有限公司产出国内首台自主安全的计算机，完成首批无减速器结构的新型多关节机器人产品交付。株洲麦格米特电气有限责任公司完成工业数字化智能焊机国产替代；开发了新能源汽车变频驱动器、DCDC及ACDC、集成PEU等产品，获得80多项专利授权。株洲火炬安泰新材料有限公司建设AMOLED工艺用ITO靶材产线，发明创造出第五代ITO靶材制备技术。三是园区引资能力不断增强。株洲北斗产业园一期引进中美创投5亿元，不到半年时间，园区已签约落地赛德雷特、椭圆时空等项目11个，总投资59.2亿元。天元工业软件园已于2022年全国工业APP和信息消费大赛决赛期间正式开园并签约落地首批企业。会议期间累计签约额为26亿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绩</w:t>
            </w:r>
          </w:p>
          <w:p>
            <w:pPr>
              <w:widowControl/>
              <w:jc w:val="center"/>
              <w:rPr>
                <w:rFonts w:eastAsia="仿宋_GB2312"/>
                <w:color w:val="000000"/>
                <w:sz w:val="20"/>
                <w:szCs w:val="20"/>
              </w:rPr>
            </w:pPr>
            <w:r>
              <w:rPr>
                <w:rFonts w:eastAsia="仿宋_GB2312"/>
                <w:color w:val="000000"/>
                <w:sz w:val="20"/>
                <w:szCs w:val="20"/>
              </w:rPr>
              <w:t>效</w:t>
            </w:r>
          </w:p>
          <w:p>
            <w:pPr>
              <w:widowControl/>
              <w:jc w:val="center"/>
              <w:rPr>
                <w:rFonts w:eastAsia="仿宋_GB2312"/>
                <w:color w:val="000000"/>
                <w:sz w:val="20"/>
                <w:szCs w:val="20"/>
              </w:rPr>
            </w:pPr>
            <w:r>
              <w:rPr>
                <w:rFonts w:eastAsia="仿宋_GB2312"/>
                <w:color w:val="000000"/>
                <w:sz w:val="20"/>
                <w:szCs w:val="20"/>
              </w:rPr>
              <w:t>指</w:t>
            </w:r>
          </w:p>
          <w:p>
            <w:pPr>
              <w:widowControl/>
              <w:jc w:val="center"/>
              <w:rPr>
                <w:rFonts w:eastAsia="仿宋_GB2312"/>
                <w:color w:val="000000"/>
                <w:sz w:val="20"/>
                <w:szCs w:val="20"/>
              </w:rPr>
            </w:pPr>
            <w:r>
              <w:rPr>
                <w:rFonts w:eastAsia="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年度</w:t>
            </w:r>
          </w:p>
          <w:p>
            <w:pPr>
              <w:widowControl/>
              <w:spacing w:line="240" w:lineRule="exact"/>
              <w:jc w:val="center"/>
              <w:rPr>
                <w:rFonts w:eastAsia="仿宋_GB2312"/>
                <w:color w:val="000000"/>
                <w:sz w:val="20"/>
                <w:szCs w:val="20"/>
              </w:rPr>
            </w:pPr>
            <w:r>
              <w:rPr>
                <w:rFonts w:eastAsia="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实际</w:t>
            </w:r>
          </w:p>
          <w:p>
            <w:pPr>
              <w:widowControl/>
              <w:spacing w:line="240" w:lineRule="exact"/>
              <w:jc w:val="center"/>
              <w:rPr>
                <w:rFonts w:eastAsia="仿宋_GB2312"/>
                <w:color w:val="000000"/>
                <w:sz w:val="20"/>
                <w:szCs w:val="20"/>
              </w:rPr>
            </w:pPr>
            <w:r>
              <w:rPr>
                <w:rFonts w:eastAsia="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eastAsia="仿宋_GB2312"/>
                <w:color w:val="000000"/>
                <w:sz w:val="20"/>
                <w:szCs w:val="20"/>
              </w:rPr>
            </w:pPr>
            <w:r>
              <w:rPr>
                <w:rFonts w:eastAsia="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产出指标</w:t>
            </w:r>
          </w:p>
          <w:p>
            <w:pPr>
              <w:widowControl/>
              <w:jc w:val="center"/>
              <w:rPr>
                <w:rFonts w:eastAsia="仿宋_GB2312"/>
                <w:color w:val="000000"/>
                <w:sz w:val="20"/>
                <w:szCs w:val="20"/>
              </w:rPr>
            </w:pPr>
          </w:p>
          <w:p>
            <w:pPr>
              <w:widowControl/>
              <w:jc w:val="center"/>
              <w:rPr>
                <w:rFonts w:eastAsia="仿宋_GB2312"/>
                <w:color w:val="000000"/>
                <w:sz w:val="20"/>
                <w:szCs w:val="20"/>
              </w:rPr>
            </w:pPr>
            <w:r>
              <w:rPr>
                <w:rFonts w:eastAsia="仿宋_GB2312"/>
                <w:color w:val="000000"/>
                <w:sz w:val="20"/>
                <w:szCs w:val="20"/>
              </w:rPr>
              <w:t>(50分)</w:t>
            </w:r>
          </w:p>
        </w:tc>
        <w:tc>
          <w:tcPr>
            <w:tcW w:w="1080"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hint="eastAsia" w:eastAsia="仿宋_GB2312"/>
                <w:color w:val="000000"/>
                <w:sz w:val="20"/>
                <w:szCs w:val="20"/>
                <w:lang w:eastAsia="zh-CN"/>
              </w:rPr>
              <w:t>电子信息制造业总营收迈上</w:t>
            </w:r>
            <w:r>
              <w:rPr>
                <w:rFonts w:hint="eastAsia" w:eastAsia="仿宋_GB2312"/>
                <w:color w:val="000000"/>
                <w:sz w:val="20"/>
                <w:szCs w:val="20"/>
                <w:lang w:val="en-US" w:eastAsia="zh-CN"/>
              </w:rPr>
              <w:t>300亿台阶</w:t>
            </w:r>
          </w:p>
        </w:tc>
        <w:tc>
          <w:tcPr>
            <w:tcW w:w="1134"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300亿元</w:t>
            </w:r>
          </w:p>
        </w:tc>
        <w:tc>
          <w:tcPr>
            <w:tcW w:w="1134"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377.16亿元</w:t>
            </w:r>
          </w:p>
        </w:tc>
        <w:tc>
          <w:tcPr>
            <w:tcW w:w="828"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20</w:t>
            </w:r>
          </w:p>
        </w:tc>
        <w:tc>
          <w:tcPr>
            <w:tcW w:w="873"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20</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hint="eastAsia" w:eastAsia="仿宋_GB2312"/>
                <w:color w:val="000000"/>
                <w:sz w:val="20"/>
                <w:szCs w:val="20"/>
              </w:rPr>
              <w:t>信息基础设施不断完善</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全市城镇光纤覆盖达到100%，行政村光纤通达率达到98%以上</w:t>
            </w:r>
          </w:p>
        </w:tc>
        <w:tc>
          <w:tcPr>
            <w:tcW w:w="828"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时效指标</w:t>
            </w:r>
          </w:p>
        </w:tc>
        <w:tc>
          <w:tcPr>
            <w:tcW w:w="1224"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hint="eastAsia" w:eastAsia="仿宋_GB2312"/>
                <w:color w:val="000000"/>
                <w:sz w:val="20"/>
                <w:szCs w:val="20"/>
                <w:lang w:eastAsia="zh-CN"/>
              </w:rPr>
              <w:t>在</w:t>
            </w:r>
            <w:r>
              <w:rPr>
                <w:rFonts w:hint="eastAsia" w:eastAsia="仿宋_GB2312"/>
                <w:color w:val="000000"/>
                <w:sz w:val="20"/>
                <w:szCs w:val="20"/>
                <w:lang w:val="en-US" w:eastAsia="zh-CN"/>
              </w:rPr>
              <w:t>10月成功举办全国工业APP和信息消费大赛</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12月21-23日举办全国工业APP和信息消费大赛</w:t>
            </w:r>
          </w:p>
        </w:tc>
        <w:tc>
          <w:tcPr>
            <w:tcW w:w="828"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8</w:t>
            </w:r>
          </w:p>
        </w:tc>
        <w:tc>
          <w:tcPr>
            <w:tcW w:w="1418"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eastAsia="zh-CN"/>
              </w:rPr>
              <w:t>由于疫情的影响，推迟了两次，直到</w:t>
            </w:r>
            <w:r>
              <w:rPr>
                <w:rFonts w:hint="eastAsia" w:eastAsia="仿宋_GB2312"/>
                <w:color w:val="000000"/>
                <w:sz w:val="20"/>
                <w:szCs w:val="20"/>
                <w:lang w:val="en-US" w:eastAsia="zh-CN"/>
              </w:rPr>
              <w:t>12月底成功举办。</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成本指标</w:t>
            </w:r>
          </w:p>
        </w:tc>
        <w:tc>
          <w:tcPr>
            <w:tcW w:w="1224"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hint="eastAsia" w:eastAsia="仿宋_GB2312"/>
                <w:color w:val="000000"/>
                <w:sz w:val="20"/>
                <w:szCs w:val="20"/>
                <w:lang w:eastAsia="zh-CN"/>
              </w:rPr>
              <w:t>总体不超过</w:t>
            </w:r>
            <w:r>
              <w:rPr>
                <w:rFonts w:hint="eastAsia" w:eastAsia="仿宋_GB2312"/>
                <w:color w:val="000000"/>
                <w:sz w:val="20"/>
                <w:szCs w:val="20"/>
                <w:lang w:val="en-US" w:eastAsia="zh-CN"/>
              </w:rPr>
              <w:t>550万元</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eastAsia="仿宋_GB2312"/>
                <w:color w:val="000000"/>
                <w:sz w:val="20"/>
                <w:szCs w:val="20"/>
                <w:lang w:eastAsia="zh-CN"/>
              </w:rPr>
            </w:pPr>
            <w:r>
              <w:rPr>
                <w:rFonts w:eastAsia="仿宋_GB2312"/>
                <w:color w:val="000000"/>
                <w:sz w:val="20"/>
                <w:szCs w:val="20"/>
              </w:rPr>
              <w:t>　</w:t>
            </w:r>
            <w:r>
              <w:rPr>
                <w:rFonts w:hint="eastAsia" w:eastAsia="仿宋_GB2312"/>
                <w:color w:val="000000"/>
                <w:sz w:val="20"/>
                <w:szCs w:val="20"/>
                <w:lang w:eastAsia="zh-CN"/>
              </w:rPr>
              <w:t>在给运营商的短信发送费用上增加了支出，在项目申报方面削减了支出，总体持平。</w:t>
            </w:r>
          </w:p>
        </w:tc>
        <w:tc>
          <w:tcPr>
            <w:tcW w:w="828"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restart"/>
            <w:tcBorders>
              <w:top w:val="nil"/>
              <w:left w:val="nil"/>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效益指标</w:t>
            </w:r>
          </w:p>
          <w:p>
            <w:pPr>
              <w:widowControl/>
              <w:jc w:val="left"/>
              <w:rPr>
                <w:rFonts w:eastAsia="仿宋_GB2312"/>
                <w:color w:val="000000"/>
                <w:sz w:val="20"/>
                <w:szCs w:val="20"/>
              </w:rPr>
            </w:pPr>
          </w:p>
          <w:p>
            <w:pPr>
              <w:widowControl/>
              <w:jc w:val="left"/>
              <w:rPr>
                <w:rFonts w:eastAsia="仿宋_GB2312"/>
                <w:color w:val="000000"/>
                <w:sz w:val="20"/>
                <w:szCs w:val="20"/>
              </w:rPr>
            </w:pPr>
            <w:r>
              <w:rPr>
                <w:rFonts w:eastAsia="仿宋_GB2312"/>
                <w:color w:val="000000"/>
                <w:sz w:val="20"/>
                <w:szCs w:val="20"/>
              </w:rPr>
              <w:t>（30分）</w:t>
            </w:r>
          </w:p>
          <w:p>
            <w:pPr>
              <w:widowControl/>
              <w:jc w:val="left"/>
              <w:rPr>
                <w:rFonts w:eastAsia="仿宋_GB2312"/>
                <w:color w:val="000000"/>
                <w:sz w:val="20"/>
                <w:szCs w:val="20"/>
              </w:rPr>
            </w:pPr>
            <w:r>
              <w:rPr>
                <w:rFonts w:eastAsia="仿宋_GB2312"/>
                <w:color w:val="000000"/>
                <w:sz w:val="20"/>
                <w:szCs w:val="20"/>
              </w:rPr>
              <w:t>　</w:t>
            </w:r>
          </w:p>
        </w:tc>
        <w:tc>
          <w:tcPr>
            <w:tcW w:w="1080"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经济效</w:t>
            </w:r>
          </w:p>
          <w:p>
            <w:pPr>
              <w:widowControl/>
              <w:jc w:val="center"/>
              <w:rPr>
                <w:rFonts w:eastAsia="仿宋_GB2312"/>
                <w:color w:val="000000"/>
                <w:sz w:val="20"/>
                <w:szCs w:val="20"/>
              </w:rPr>
            </w:pPr>
            <w:r>
              <w:rPr>
                <w:rFonts w:eastAsia="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widowControl/>
              <w:jc w:val="left"/>
              <w:rPr>
                <w:rFonts w:hint="eastAsia" w:eastAsia="仿宋_GB2312"/>
                <w:color w:val="000000"/>
                <w:sz w:val="20"/>
                <w:szCs w:val="20"/>
                <w:lang w:eastAsia="zh-CN"/>
              </w:rPr>
            </w:pPr>
            <w:r>
              <w:rPr>
                <w:rFonts w:hint="eastAsia" w:eastAsia="仿宋_GB2312"/>
                <w:color w:val="000000"/>
                <w:sz w:val="20"/>
                <w:szCs w:val="20"/>
                <w:lang w:eastAsia="zh-CN"/>
              </w:rPr>
              <w:t>该专项不存在营业收入</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社会效</w:t>
            </w:r>
          </w:p>
          <w:p>
            <w:pPr>
              <w:widowControl/>
              <w:jc w:val="center"/>
              <w:rPr>
                <w:rFonts w:eastAsia="仿宋_GB2312"/>
                <w:color w:val="000000"/>
                <w:sz w:val="20"/>
                <w:szCs w:val="20"/>
              </w:rPr>
            </w:pPr>
            <w:r>
              <w:rPr>
                <w:rFonts w:eastAsia="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hint="eastAsia" w:ascii="仿宋" w:hAnsi="仿宋" w:eastAsia="仿宋" w:cs="仿宋"/>
                <w:i w:val="0"/>
                <w:iCs w:val="0"/>
                <w:color w:val="000000"/>
                <w:kern w:val="0"/>
                <w:sz w:val="21"/>
                <w:szCs w:val="21"/>
                <w:u w:val="none"/>
                <w:lang w:val="en-US" w:eastAsia="zh-CN" w:bidi="ar"/>
              </w:rPr>
              <w:t>纳税情况</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eastAsia="仿宋_GB2312"/>
                <w:color w:val="000000"/>
                <w:sz w:val="20"/>
                <w:szCs w:val="20"/>
                <w:lang w:eastAsia="zh-CN"/>
              </w:rPr>
            </w:pPr>
            <w:r>
              <w:rPr>
                <w:rFonts w:eastAsia="仿宋_GB2312"/>
                <w:color w:val="000000"/>
                <w:sz w:val="20"/>
                <w:szCs w:val="20"/>
              </w:rPr>
              <w:t>　</w:t>
            </w:r>
            <w:r>
              <w:rPr>
                <w:rFonts w:hint="eastAsia" w:eastAsia="仿宋_GB2312"/>
                <w:color w:val="000000"/>
                <w:sz w:val="20"/>
                <w:szCs w:val="20"/>
                <w:lang w:eastAsia="zh-CN"/>
              </w:rPr>
              <w:t>相关第三方已经合法纳税</w:t>
            </w:r>
          </w:p>
        </w:tc>
        <w:tc>
          <w:tcPr>
            <w:tcW w:w="828"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hint="eastAsia" w:eastAsia="仿宋_GB2312"/>
                <w:color w:val="000000"/>
                <w:sz w:val="20"/>
                <w:szCs w:val="20"/>
                <w:lang w:val="en-US" w:eastAsia="zh-CN"/>
              </w:rPr>
              <w:t>10</w:t>
            </w: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center"/>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生态效</w:t>
            </w:r>
          </w:p>
          <w:p>
            <w:pPr>
              <w:widowControl/>
              <w:jc w:val="center"/>
              <w:rPr>
                <w:rFonts w:eastAsia="仿宋_GB2312"/>
                <w:color w:val="000000"/>
                <w:sz w:val="20"/>
                <w:szCs w:val="20"/>
              </w:rPr>
            </w:pPr>
            <w:r>
              <w:rPr>
                <w:rFonts w:eastAsia="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widowControl/>
              <w:jc w:val="left"/>
              <w:rPr>
                <w:rFonts w:hint="eastAsia" w:eastAsia="仿宋_GB2312"/>
                <w:color w:val="000000"/>
                <w:sz w:val="20"/>
                <w:szCs w:val="20"/>
                <w:lang w:eastAsia="zh-CN"/>
              </w:rPr>
            </w:pPr>
            <w:r>
              <w:rPr>
                <w:rFonts w:hint="eastAsia" w:eastAsia="仿宋_GB2312"/>
                <w:color w:val="000000"/>
                <w:sz w:val="20"/>
                <w:szCs w:val="20"/>
                <w:lang w:eastAsia="zh-CN"/>
              </w:rPr>
              <w:t>对环境友好</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eastAsia="仿宋_GB2312"/>
                <w:color w:val="000000"/>
                <w:sz w:val="20"/>
                <w:szCs w:val="20"/>
                <w:lang w:eastAsia="zh-CN"/>
              </w:rPr>
            </w:pPr>
            <w:r>
              <w:rPr>
                <w:rFonts w:eastAsia="仿宋_GB2312"/>
                <w:color w:val="000000"/>
                <w:sz w:val="20"/>
                <w:szCs w:val="20"/>
              </w:rPr>
              <w:t>　</w:t>
            </w:r>
            <w:r>
              <w:rPr>
                <w:rFonts w:hint="eastAsia" w:eastAsia="仿宋_GB2312"/>
                <w:color w:val="000000"/>
                <w:sz w:val="20"/>
                <w:szCs w:val="20"/>
                <w:lang w:eastAsia="zh-CN"/>
              </w:rPr>
              <w:t>相关电子信息项目充分体现了环保节能</w:t>
            </w:r>
          </w:p>
        </w:tc>
        <w:tc>
          <w:tcPr>
            <w:tcW w:w="828"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widowControl/>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1080" w:type="dxa"/>
            <w:vMerge w:val="continue"/>
            <w:tcBorders>
              <w:left w:val="single" w:color="auto" w:sz="4" w:space="0"/>
              <w:right w:val="single" w:color="auto" w:sz="4" w:space="0"/>
            </w:tcBorders>
            <w:noWrap w:val="0"/>
            <w:vAlign w:val="center"/>
          </w:tcPr>
          <w:p>
            <w:pPr>
              <w:widowControl/>
              <w:jc w:val="center"/>
              <w:rPr>
                <w:rFonts w:eastAsia="仿宋_GB2312"/>
                <w:color w:val="000000"/>
                <w:sz w:val="20"/>
                <w:szCs w:val="20"/>
              </w:rPr>
            </w:pPr>
          </w:p>
        </w:tc>
        <w:tc>
          <w:tcPr>
            <w:tcW w:w="1080" w:type="dxa"/>
            <w:vMerge w:val="continue"/>
            <w:tcBorders>
              <w:left w:val="nil"/>
              <w:right w:val="single" w:color="auto" w:sz="4" w:space="0"/>
            </w:tcBorders>
            <w:noWrap w:val="0"/>
            <w:vAlign w:val="center"/>
          </w:tcPr>
          <w:p>
            <w:pPr>
              <w:widowControl/>
              <w:jc w:val="left"/>
              <w:rPr>
                <w:rFonts w:eastAsia="仿宋_GB2312"/>
                <w:color w:val="000000"/>
                <w:sz w:val="20"/>
                <w:szCs w:val="20"/>
              </w:rPr>
            </w:pPr>
          </w:p>
        </w:tc>
        <w:tc>
          <w:tcPr>
            <w:tcW w:w="1080" w:type="dxa"/>
            <w:vMerge w:val="restart"/>
            <w:tcBorders>
              <w:top w:val="single" w:color="auto" w:sz="4" w:space="0"/>
              <w:left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仿宋_GB2312"/>
                <w:color w:val="000000"/>
                <w:sz w:val="20"/>
                <w:szCs w:val="20"/>
                <w:lang w:eastAsia="zh-CN"/>
              </w:rPr>
            </w:pPr>
            <w:r>
              <w:rPr>
                <w:rFonts w:hint="eastAsia" w:eastAsia="仿宋_GB2312"/>
                <w:color w:val="000000"/>
                <w:sz w:val="20"/>
                <w:szCs w:val="20"/>
                <w:lang w:eastAsia="zh-CN"/>
              </w:rPr>
              <w:t>对株洲经济发展产生良好影响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eastAsia="zh-CN"/>
              </w:rPr>
              <w:t>在</w:t>
            </w:r>
            <w:r>
              <w:rPr>
                <w:rFonts w:hint="eastAsia" w:eastAsia="仿宋_GB2312"/>
                <w:color w:val="000000"/>
                <w:sz w:val="20"/>
                <w:szCs w:val="20"/>
                <w:lang w:val="en-US" w:eastAsia="zh-CN"/>
              </w:rPr>
              <w:t>APP大赛上荟聚行业内专家学者，共商株洲经济发展大计</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22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080" w:type="dxa"/>
            <w:vMerge w:val="continue"/>
            <w:tcBorders>
              <w:left w:val="single" w:color="auto" w:sz="4" w:space="0"/>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满意度</w:t>
            </w:r>
          </w:p>
          <w:p>
            <w:pPr>
              <w:widowControl/>
              <w:jc w:val="center"/>
              <w:rPr>
                <w:rFonts w:eastAsia="仿宋_GB2312"/>
                <w:color w:val="000000"/>
                <w:sz w:val="20"/>
                <w:szCs w:val="20"/>
              </w:rPr>
            </w:pPr>
            <w:r>
              <w:rPr>
                <w:rFonts w:eastAsia="仿宋_GB2312"/>
                <w:color w:val="000000"/>
                <w:sz w:val="20"/>
                <w:szCs w:val="20"/>
              </w:rPr>
              <w:t>指标</w:t>
            </w:r>
          </w:p>
          <w:p>
            <w:pPr>
              <w:widowControl/>
              <w:jc w:val="center"/>
              <w:rPr>
                <w:rFonts w:eastAsia="仿宋_GB2312"/>
                <w:color w:val="000000"/>
                <w:sz w:val="20"/>
                <w:szCs w:val="20"/>
              </w:rPr>
            </w:pPr>
            <w:r>
              <w:rPr>
                <w:rFonts w:eastAsia="仿宋_GB2312"/>
                <w:color w:val="000000"/>
                <w:sz w:val="20"/>
                <w:szCs w:val="20"/>
              </w:rPr>
              <w:t>（10分）</w:t>
            </w:r>
          </w:p>
        </w:tc>
        <w:tc>
          <w:tcPr>
            <w:tcW w:w="1080" w:type="dxa"/>
            <w:vMerge w:val="restart"/>
            <w:tcBorders>
              <w:top w:val="nil"/>
              <w:left w:val="nil"/>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服务对象满意度指标</w:t>
            </w: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hint="eastAsia" w:ascii="仿宋" w:hAnsi="仿宋" w:eastAsia="仿宋" w:cs="仿宋"/>
                <w:i w:val="0"/>
                <w:iCs w:val="0"/>
                <w:color w:val="000000"/>
                <w:kern w:val="0"/>
                <w:sz w:val="21"/>
                <w:szCs w:val="21"/>
                <w:u w:val="none"/>
                <w:lang w:val="en-US" w:eastAsia="zh-CN" w:bidi="ar"/>
              </w:rPr>
              <w:t>职工和服务对象对项目实施效果的满意程度</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lang w:val="en-US" w:eastAsia="zh-CN"/>
              </w:rPr>
              <w:t>APP大赛</w:t>
            </w:r>
            <w:r>
              <w:rPr>
                <w:rFonts w:hint="eastAsia" w:ascii="仿宋" w:hAnsi="仿宋" w:eastAsia="仿宋" w:cs="仿宋"/>
                <w:i w:val="0"/>
                <w:iCs w:val="0"/>
                <w:color w:val="000000"/>
                <w:sz w:val="21"/>
                <w:szCs w:val="21"/>
                <w:u w:val="none"/>
                <w:lang w:val="en-US" w:eastAsia="zh-CN"/>
              </w:rPr>
              <w:t>活动效果较好，主流媒体相关报道1000多篇；职工能力得到锻炼，获得感强。</w:t>
            </w:r>
          </w:p>
        </w:tc>
        <w:tc>
          <w:tcPr>
            <w:tcW w:w="828"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rPr>
          <w:jc w:val="center"/>
        </w:trPr>
        <w:tc>
          <w:tcPr>
            <w:tcW w:w="1080" w:type="dxa"/>
            <w:vMerge w:val="continue"/>
            <w:tcBorders>
              <w:left w:val="single" w:color="auto" w:sz="4" w:space="0"/>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080" w:type="dxa"/>
            <w:vMerge w:val="continue"/>
            <w:tcBorders>
              <w:left w:val="nil"/>
              <w:right w:val="single" w:color="auto" w:sz="4" w:space="0"/>
            </w:tcBorders>
            <w:noWrap w:val="0"/>
            <w:vAlign w:val="center"/>
          </w:tcPr>
          <w:p>
            <w:pPr>
              <w:jc w:val="left"/>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jc w:val="left"/>
              <w:rPr>
                <w:rFonts w:eastAsia="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eastAsia="仿宋_GB2312"/>
                <w:color w:val="000000"/>
                <w:sz w:val="20"/>
                <w:szCs w:val="20"/>
              </w:rPr>
            </w:pPr>
            <w:r>
              <w:rPr>
                <w:rFonts w:eastAsia="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widowControl/>
              <w:jc w:val="center"/>
              <w:rPr>
                <w:rFonts w:eastAsia="仿宋_GB2312"/>
                <w:color w:val="000000"/>
                <w:sz w:val="20"/>
                <w:szCs w:val="20"/>
              </w:rPr>
            </w:pPr>
            <w:r>
              <w:rPr>
                <w:rFonts w:eastAsia="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widowControl/>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98</w:t>
            </w:r>
          </w:p>
        </w:tc>
        <w:tc>
          <w:tcPr>
            <w:tcW w:w="1418" w:type="dxa"/>
            <w:tcBorders>
              <w:top w:val="nil"/>
              <w:left w:val="nil"/>
              <w:bottom w:val="single" w:color="auto" w:sz="4" w:space="0"/>
              <w:right w:val="single" w:color="auto" w:sz="4" w:space="0"/>
            </w:tcBorders>
            <w:noWrap w:val="0"/>
            <w:vAlign w:val="center"/>
          </w:tcPr>
          <w:p>
            <w:pPr>
              <w:widowControl/>
              <w:jc w:val="left"/>
              <w:rPr>
                <w:rFonts w:eastAsia="仿宋_GB2312"/>
                <w:color w:val="000000"/>
                <w:sz w:val="20"/>
                <w:szCs w:val="20"/>
              </w:rPr>
            </w:pPr>
            <w:r>
              <w:rPr>
                <w:rFonts w:eastAsia="仿宋_GB2312"/>
                <w:color w:val="000000"/>
                <w:sz w:val="20"/>
                <w:szCs w:val="20"/>
              </w:rPr>
              <w:t>　</w:t>
            </w:r>
          </w:p>
        </w:tc>
      </w:tr>
    </w:tbl>
    <w:p>
      <w:pPr>
        <w:rPr>
          <w:rFonts w:eastAsia="仿宋_GB2312"/>
          <w:sz w:val="18"/>
          <w:szCs w:val="18"/>
        </w:rPr>
      </w:pPr>
    </w:p>
    <w:p>
      <w:pPr>
        <w:rPr>
          <w:rFonts w:hint="eastAsia" w:eastAsia="仿宋_GB2312"/>
          <w:szCs w:val="21"/>
        </w:rPr>
      </w:pPr>
    </w:p>
    <w:p>
      <w:pPr>
        <w:keepNext w:val="0"/>
        <w:keepLines w:val="0"/>
        <w:pageBreakBefore w:val="0"/>
        <w:widowControl/>
        <w:suppressLineNumbers w:val="0"/>
        <w:kinsoku/>
        <w:wordWrap/>
        <w:overflowPunct/>
        <w:topLinePunct w:val="0"/>
        <w:autoSpaceDE/>
        <w:autoSpaceDN/>
        <w:bidi w:val="0"/>
        <w:adjustRightInd/>
        <w:snapToGrid/>
        <w:spacing w:line="579" w:lineRule="exact"/>
        <w:jc w:val="both"/>
        <w:textAlignment w:val="auto"/>
        <w:rPr>
          <w:rFonts w:hint="eastAsia"/>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大标宋简体">
    <w:altName w:val="微软雅黑"/>
    <w:panose1 w:val="03000509000000000000"/>
    <w:charset w:val="00"/>
    <w:family w:val="script"/>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WNiMzcyOTMyNDc0NmJmN2VlZDQ0OGRiNDYzY2MifQ=="/>
  </w:docVars>
  <w:rsids>
    <w:rsidRoot w:val="5BE844FE"/>
    <w:rsid w:val="5BE844FE"/>
    <w:rsid w:val="7FBFD9DA"/>
    <w:rsid w:val="99D0E069"/>
    <w:rsid w:val="EDCB7EE6"/>
    <w:rsid w:val="FB5F0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NormalIndent"/>
    <w:qFormat/>
    <w:uiPriority w:val="0"/>
    <w:pPr>
      <w:widowControl w:val="0"/>
      <w:snapToGrid w:val="0"/>
      <w:spacing w:line="300" w:lineRule="auto"/>
      <w:ind w:firstLine="556"/>
      <w:jc w:val="both"/>
    </w:pPr>
    <w:rPr>
      <w:rFonts w:ascii="仿宋_GB2312" w:hAnsi="Times New Roman" w:eastAsia="仿宋_GB2312" w:cs="Times New Roman"/>
      <w:kern w:val="0"/>
      <w:sz w:val="21"/>
      <w:szCs w:val="20"/>
      <w:lang w:val="en-US" w:eastAsia="zh-CN" w:bidi="ar-SA"/>
    </w:rPr>
  </w:style>
  <w:style w:type="paragraph" w:customStyle="1" w:styleId="8">
    <w:name w:val="正文文字"/>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1738</Words>
  <Characters>1883</Characters>
  <Lines>0</Lines>
  <Paragraphs>0</Paragraphs>
  <TotalTime>0</TotalTime>
  <ScaleCrop>false</ScaleCrop>
  <LinksUpToDate>false</LinksUpToDate>
  <CharactersWithSpaces>2041</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2023-04-27T08:13:00Z</dcterms:created>
  <dc:creator>cp</dc:creator>
  <cp:lastModifiedBy>greatwall</cp:lastModifiedBy>
  <dcterms:modified xsi:type="dcterms:W3CDTF">2023-12-05T16:03:57Z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A27ED6A8DF2FA040ECD46E65C92CADA9</vt:lpwstr>
  </property>
</Properties>
</file>