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rPr>
          <w:rFonts w:hint="default" w:ascii="方正小标宋简体" w:hAnsi="方正小标宋简体" w:eastAsia="方正小标宋简体" w:cs="方正小标宋简体"/>
          <w:color w:val="000000"/>
          <w:kern w:val="0"/>
          <w:sz w:val="41"/>
          <w:szCs w:val="41"/>
          <w:lang w:val="en-US" w:eastAsia="zh-CN" w:bidi="ar"/>
        </w:rPr>
      </w:pPr>
      <w:r>
        <w:rPr>
          <w:rFonts w:hint="eastAsia" w:ascii="黑体" w:hAnsi="黑体" w:eastAsia="黑体"/>
          <w:sz w:val="32"/>
          <w:szCs w:val="32"/>
          <w:lang w:eastAsia="zh-CN"/>
        </w:rPr>
        <w:t>附件</w:t>
      </w:r>
      <w:bookmarkStart w:id="0" w:name="_GoBack"/>
      <w:bookmarkEnd w:id="0"/>
      <w:r>
        <w:rPr>
          <w:rFonts w:hint="eastAsia" w:ascii="黑体" w:hAnsi="黑体" w:eastAsia="黑体"/>
          <w:sz w:val="32"/>
          <w:szCs w:val="32"/>
          <w:lang w:val="en-US" w:eastAsia="zh-CN"/>
        </w:rPr>
        <w:t>8</w:t>
      </w:r>
    </w:p>
    <w:p>
      <w:pPr>
        <w:keepNext w:val="0"/>
        <w:keepLines w:val="0"/>
        <w:widowControl/>
        <w:suppressLineNumbers w:val="0"/>
        <w:jc w:val="center"/>
        <w:rPr>
          <w:rFonts w:hint="eastAsia" w:ascii="方正小标宋简体" w:hAnsi="方正小标宋简体" w:eastAsia="方正小标宋简体" w:cs="方正小标宋简体"/>
          <w:color w:val="000000"/>
          <w:kern w:val="0"/>
          <w:sz w:val="41"/>
          <w:szCs w:val="41"/>
          <w:lang w:val="en-US" w:eastAsia="zh-CN" w:bidi="ar"/>
        </w:rPr>
      </w:pPr>
      <w:r>
        <w:rPr>
          <w:rFonts w:ascii="方正小标宋简体" w:hAnsi="方正小标宋简体" w:eastAsia="方正小标宋简体" w:cs="方正小标宋简体"/>
          <w:color w:val="000000"/>
          <w:kern w:val="0"/>
          <w:sz w:val="41"/>
          <w:szCs w:val="41"/>
          <w:lang w:val="en-US" w:eastAsia="zh-CN" w:bidi="ar"/>
        </w:rPr>
        <w:t>202</w:t>
      </w:r>
      <w:r>
        <w:rPr>
          <w:rFonts w:hint="eastAsia" w:ascii="方正小标宋简体" w:hAnsi="方正小标宋简体" w:eastAsia="方正小标宋简体" w:cs="方正小标宋简体"/>
          <w:color w:val="000000"/>
          <w:kern w:val="0"/>
          <w:sz w:val="41"/>
          <w:szCs w:val="41"/>
          <w:lang w:val="en-US" w:eastAsia="zh-CN" w:bidi="ar"/>
        </w:rPr>
        <w:t>2</w:t>
      </w:r>
      <w:r>
        <w:rPr>
          <w:rFonts w:ascii="方正小标宋简体" w:hAnsi="方正小标宋简体" w:eastAsia="方正小标宋简体" w:cs="方正小标宋简体"/>
          <w:color w:val="000000"/>
          <w:kern w:val="0"/>
          <w:sz w:val="41"/>
          <w:szCs w:val="41"/>
          <w:lang w:val="en-US" w:eastAsia="zh-CN" w:bidi="ar"/>
        </w:rPr>
        <w:t>年度</w:t>
      </w:r>
      <w:r>
        <w:rPr>
          <w:rFonts w:hint="eastAsia" w:ascii="方正小标宋简体" w:hAnsi="方正小标宋简体" w:eastAsia="方正小标宋简体" w:cs="方正小标宋简体"/>
          <w:color w:val="000000"/>
          <w:kern w:val="0"/>
          <w:sz w:val="41"/>
          <w:szCs w:val="41"/>
          <w:lang w:val="en-US" w:eastAsia="zh-CN" w:bidi="ar"/>
        </w:rPr>
        <w:t>国家级制造业单项冠军</w:t>
      </w:r>
    </w:p>
    <w:p>
      <w:pPr>
        <w:keepNext w:val="0"/>
        <w:keepLines w:val="0"/>
        <w:widowControl/>
        <w:suppressLineNumbers w:val="0"/>
        <w:jc w:val="center"/>
        <w:rPr>
          <w:rFonts w:ascii="方正小标宋简体" w:hAnsi="方正小标宋简体" w:eastAsia="方正小标宋简体" w:cs="方正小标宋简体"/>
          <w:color w:val="000000"/>
          <w:kern w:val="0"/>
          <w:sz w:val="41"/>
          <w:szCs w:val="41"/>
          <w:lang w:val="en-US" w:eastAsia="zh-CN" w:bidi="ar"/>
        </w:rPr>
      </w:pPr>
      <w:r>
        <w:rPr>
          <w:rFonts w:hint="eastAsia" w:ascii="方正小标宋简体" w:hAnsi="方正小标宋简体" w:eastAsia="方正小标宋简体" w:cs="方正小标宋简体"/>
          <w:color w:val="000000"/>
          <w:kern w:val="0"/>
          <w:sz w:val="41"/>
          <w:szCs w:val="41"/>
          <w:lang w:val="en-US" w:eastAsia="zh-CN" w:bidi="ar"/>
        </w:rPr>
        <w:t>奖励资金</w:t>
      </w:r>
      <w:r>
        <w:rPr>
          <w:rFonts w:ascii="方正小标宋简体" w:hAnsi="方正小标宋简体" w:eastAsia="方正小标宋简体" w:cs="方正小标宋简体"/>
          <w:color w:val="000000"/>
          <w:kern w:val="0"/>
          <w:sz w:val="41"/>
          <w:szCs w:val="41"/>
          <w:lang w:val="en-US" w:eastAsia="zh-CN" w:bidi="ar"/>
        </w:rPr>
        <w:t>绩效自评报告</w:t>
      </w:r>
    </w:p>
    <w:p>
      <w:pPr>
        <w:keepNext w:val="0"/>
        <w:keepLines w:val="0"/>
        <w:widowControl/>
        <w:suppressLineNumbers w:val="0"/>
        <w:jc w:val="center"/>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——政策法规科</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ascii="黑体" w:hAnsi="宋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ascii="黑体" w:hAnsi="宋体" w:eastAsia="黑体" w:cs="黑体"/>
          <w:color w:val="000000"/>
          <w:kern w:val="0"/>
          <w:sz w:val="32"/>
          <w:szCs w:val="32"/>
          <w:lang w:val="en-US" w:eastAsia="zh-CN" w:bidi="ar"/>
        </w:rPr>
        <w:t>一、预算收支出情况</w:t>
      </w:r>
      <w:r>
        <w:rPr>
          <w:rFonts w:ascii="楷体" w:hAnsi="楷体" w:eastAsia="楷体" w:cs="楷体"/>
          <w:b/>
          <w:bCs/>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2022年</w:t>
      </w:r>
      <w:r>
        <w:rPr>
          <w:rFonts w:ascii="仿宋" w:hAnsi="仿宋" w:eastAsia="仿宋" w:cs="仿宋"/>
          <w:color w:val="000000"/>
          <w:kern w:val="0"/>
          <w:sz w:val="32"/>
          <w:szCs w:val="32"/>
          <w:lang w:val="en-US" w:eastAsia="zh-CN" w:bidi="ar"/>
        </w:rPr>
        <w:t>预算收入</w:t>
      </w:r>
      <w:r>
        <w:rPr>
          <w:rFonts w:hint="eastAsia" w:ascii="仿宋" w:hAnsi="仿宋" w:eastAsia="仿宋" w:cs="仿宋"/>
          <w:color w:val="000000"/>
          <w:kern w:val="0"/>
          <w:sz w:val="32"/>
          <w:szCs w:val="32"/>
          <w:lang w:val="en-US" w:eastAsia="zh-CN" w:bidi="ar"/>
        </w:rPr>
        <w:t>600</w:t>
      </w:r>
      <w:r>
        <w:rPr>
          <w:rFonts w:ascii="仿宋" w:hAnsi="仿宋" w:eastAsia="仿宋" w:cs="仿宋"/>
          <w:color w:val="000000"/>
          <w:kern w:val="0"/>
          <w:sz w:val="32"/>
          <w:szCs w:val="32"/>
          <w:lang w:val="en-US" w:eastAsia="zh-CN" w:bidi="ar"/>
        </w:rPr>
        <w:t>万元，其中年初预算</w:t>
      </w:r>
      <w:r>
        <w:rPr>
          <w:rFonts w:hint="eastAsia" w:ascii="仿宋" w:hAnsi="仿宋" w:eastAsia="仿宋" w:cs="仿宋"/>
          <w:color w:val="000000"/>
          <w:kern w:val="0"/>
          <w:sz w:val="32"/>
          <w:szCs w:val="32"/>
          <w:lang w:val="en-US" w:eastAsia="zh-CN" w:bidi="ar"/>
        </w:rPr>
        <w:t>600</w:t>
      </w:r>
      <w:r>
        <w:rPr>
          <w:rFonts w:ascii="仿宋" w:hAnsi="仿宋" w:eastAsia="仿宋" w:cs="仿宋"/>
          <w:color w:val="000000"/>
          <w:kern w:val="0"/>
          <w:sz w:val="32"/>
          <w:szCs w:val="32"/>
          <w:lang w:val="en-US" w:eastAsia="zh-CN" w:bidi="ar"/>
        </w:rPr>
        <w:t>元。</w:t>
      </w:r>
      <w:r>
        <w:rPr>
          <w:rFonts w:hint="eastAsia" w:ascii="仿宋" w:hAnsi="仿宋" w:eastAsia="仿宋" w:cs="仿宋"/>
          <w:color w:val="000000"/>
          <w:kern w:val="0"/>
          <w:sz w:val="32"/>
          <w:szCs w:val="32"/>
          <w:lang w:val="en-US" w:eastAsia="zh-CN" w:bidi="ar"/>
        </w:rPr>
        <w:t>2022年支出600万元，结余0万元。</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二、项目支出绩效情况</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2022年国家级制造业单项冠军奖励资金支出600万元，湖南联诚轨道装备有限公司（电力机车专用风机）、株洲天桥起重机股份有限公司（铝电解多功能机组）、株洲南方阀门股份有限公司（多功能水泵控制阀）、株洲欧科亿数控精密刀具股份有限公司（锯齿刀片）、中车株洲电力机车有限公司（中低速磁悬浮列车）、中车株洲电机有限公司（轨道交通牵引电机）等6家企业（产品）各奖励100万元。主要用于获奖企业相关产品（产线）的生产线建设、新产品材料采购、设备购置、检测试验装置采购、知识产权支出等。项目实施及绩效情况如下：</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default"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1"/>
          <w:szCs w:val="31"/>
          <w:lang w:val="en-US" w:eastAsia="zh-CN" w:bidi="ar"/>
        </w:rPr>
        <w:t>1.企业效益明显提升。</w:t>
      </w:r>
      <w:r>
        <w:rPr>
          <w:rFonts w:hint="eastAsia" w:ascii="仿宋" w:hAnsi="仿宋" w:eastAsia="仿宋" w:cs="仿宋"/>
          <w:color w:val="000000"/>
          <w:kern w:val="0"/>
          <w:sz w:val="32"/>
          <w:szCs w:val="32"/>
          <w:lang w:val="en-US" w:eastAsia="zh-CN" w:bidi="ar"/>
        </w:rPr>
        <w:t>中车株机公司先后荣获“全国质量效益型先进企业”、“全国企业管理现代化创新成果奖”、“全国首批100家青工技能振兴计划试点企业”等称号。中车株洲电机有限公司近三年牵引变压器相关产品收入年均7.28亿元，年产值居国内牵引变压器制造企业首位，公司产品出口南非、德国、马其顿、匈牙利、荷兰、塞尔维亚、埃塞俄比亚、马来西亚、印度尼西亚、捷克、阿根廷、奥地利、马其顿、格鲁吉亚等国家。2022年，株洲欧科亿数控精密刀具股份有限公司（锯齿刀片）项目实施产出经济效益超过4亿元，缴纳税收超过1亿元。今年一季度，湖南联诚轨道装备有限公司主营业务收入39131万元，同比增长38.21%，其中电力机车专用风机产品累计销售收入16598万元，同比增长98.77%。</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1"/>
          <w:szCs w:val="31"/>
          <w:lang w:val="en-US" w:eastAsia="zh-CN" w:bidi="ar"/>
        </w:rPr>
        <w:t>2.创新实力明显增强。</w:t>
      </w:r>
      <w:r>
        <w:rPr>
          <w:rFonts w:hint="eastAsia" w:ascii="仿宋" w:hAnsi="仿宋" w:eastAsia="仿宋" w:cs="仿宋"/>
          <w:color w:val="000000"/>
          <w:kern w:val="0"/>
          <w:sz w:val="32"/>
          <w:szCs w:val="32"/>
          <w:lang w:val="en-US" w:eastAsia="zh-CN" w:bidi="ar"/>
        </w:rPr>
        <w:t>中车株机公司拥有国家级企业技术中心，建成了国内行业独有的3个“国家级”创新平台，即重载快捷大功率电力机车全国重点实验室、轨道交通车辆系统集成国家工程研究中心、轨道交通装备国家级工业设计中心，牵头组建了行业唯一的国家级制造业创新中心，在土耳其、南非、奥地利等国建立了3家海外研发机构，掌握了系统集成、交流传动、重载运输、磁悬浮、车辆储能、超级电容、低地板、故障预测与健康管理等多项前沿技术。中车株洲电机有限公司坚持“技术领先”为内核的差异化竞争战略，组建了独立的研发机构，形成了基础性共性技术研究、产品开发、试验验证、技术支持和技术管理全体系的技术创新能力。中车株洲电机有限公司产品研发方面依托产品技术平台，以产品模块化、标准化、系列化建设为核心，以产品设计规范为基础，以实现组装式研发为目标，构建了涵盖异步牵引电机产品开发、牵引变压器产品开发、主发电机产品开发、永磁电机产品开发、高效电机产品开发和特种变压器产品开发六大板块的产品开发平台，形成面向市场、快速响应的技术能力。湖南联诚轨道装备有限公司的电力机车专用风机具有完全自主知识产权的核心产品，属于培育遴选重点领域中装备制造领域，补齐铁路高端装备及部件类别核心关键零部件短板，产品整体技术处于国内领先水平，部分关键零部件达到国际领先水平，打破了西门子、庞巴迪等公司垄断地位，取得多项原创性科研成果，为实现专用风机国产化起到引领作用，并促进细分领域技术进步。株洲天桥起重机股份有限公司针对有色物料搬运行业工艺特点，系统性地解决了强磁、高温、重粉尘等恶劣环境下，动态作业工况的负荷稳定性、多元信息耦合干扰、通信紊乱、击穿、漏电等“卡脖子”技术难题，在国内首次开发了铝电解多功能机组，推动了我国铝电解行业实现大型化（电流强度&gt;500KA）、能源利用高效化，吨铝电耗居世界领先地位，各项技术指标国际领先，同时从绿色设计、绿色工艺创新等方面实现绿色化生产；同步在铜铅锌等有色领域，成功开发出相应国产化替代装备。2022年，株洲南方阀门股份有限公司荣获国家知识产权示范企业、湖南省专利奖三等奖，研发的新产品5项、成果转化及应用项目10项，新申请专利7项，其中发明专利2项，公司拥有效专利92项，其中有效发明专利35项。</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 w:hAnsi="仿宋" w:eastAsia="仿宋" w:cs="仿宋"/>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3.协作配套日益紧密。</w:t>
      </w:r>
      <w:r>
        <w:rPr>
          <w:rFonts w:hint="eastAsia" w:ascii="仿宋" w:hAnsi="仿宋" w:eastAsia="仿宋" w:cs="仿宋"/>
          <w:color w:val="000000"/>
          <w:kern w:val="0"/>
          <w:sz w:val="31"/>
          <w:szCs w:val="31"/>
          <w:lang w:val="en-US" w:eastAsia="zh-CN" w:bidi="ar"/>
        </w:rPr>
        <w:t>中车株洲电力机车有限公司整体统筹供应商资源，发挥维保分公司牵头引领作用，在市场营销、关键技术研发、生产能力布局、物资供应能力等方面加强协作、合理分工，建立协同发展、互利共赢的产业发展联盟，打造具有竞争优势的全产业供应链；借助中车集团和集团自身资源，搭建覆盖上游供应商和下游客户整个产业链的沟通机制；充分发挥产业链链主企业优势，实现供应商价值整合。中车株洲电机有限公司拥有机车变压器、动车变压器、辅助变压器、电抗器、高频变压器、特种变压器及配套电气产品技术平台，搭建了满足多流制、高原、高寒、风沙等极端环境、不同安装位置、不同安装方式及不同绝缘体系等变压器的技术平台，实现了对铁路干线、城际交通网络的牵引产品全面覆盖，满足各型轨道交通车辆用变压器配套。株洲南方阀门股份有限公司与行业龙头企业协同创新、产业链上下游协作配套，企业自建有省级企业技术中心、湖南省新型阀门工程技术研究中心、湖南省工业设计中心，与中国水利水电科学研究院共建泵管阀安全智能控制实验室，入选2022年湖南省第三批建设培育的产教融合型企业。</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1"/>
          <w:szCs w:val="31"/>
          <w:lang w:val="en-US" w:eastAsia="zh-CN" w:bidi="ar"/>
        </w:rPr>
        <w:t>4.社会效益持续扩大。</w:t>
      </w:r>
      <w:r>
        <w:rPr>
          <w:rFonts w:hint="eastAsia" w:ascii="仿宋" w:hAnsi="仿宋" w:eastAsia="仿宋" w:cs="仿宋"/>
          <w:color w:val="000000"/>
          <w:kern w:val="0"/>
          <w:sz w:val="31"/>
          <w:szCs w:val="31"/>
          <w:lang w:val="en-US" w:eastAsia="zh-CN" w:bidi="ar"/>
        </w:rPr>
        <w:t>随着获奖企业相关产品生产线的扩充，以及生产线的数字化、智能化、绿色化进一步提升，产品产量、质量、效率进一步提升，相关产品在国内省内的市场占有率进一步提升，相关产品工作岗位进一步扩大。株洲天桥起重机股份有限公司研发的“铝电解多功能机组”，填补了我国有色冶金专用设备关键领域短板，全面实现了国产化替代，连续三年全球市场占有率50%，国内占有率90%，国内外占有率第一。株洲南方阀门股份有限公司成功入围全国颠覆性技术创新大赛公司研发的基于数字孪生的供水工程水锤防护与智慧调控系统，有效解决了国际工程技术难题。中车株洲电力机车有限公司生产的中低速磁悬浮列车自2015年10月以来在长沙成功开跑，这是中国首条拥有完全自主知识产权磁悬浮线路，也是世界上最长的中低速磁浮运营线，开启了中国磁浮产业开始蓬勃发展的序幕。</w:t>
      </w:r>
      <w:r>
        <w:rPr>
          <w:rFonts w:hint="eastAsia" w:ascii="仿宋" w:hAnsi="仿宋" w:eastAsia="仿宋" w:cs="仿宋"/>
          <w:color w:val="000000"/>
          <w:kern w:val="0"/>
          <w:sz w:val="32"/>
          <w:szCs w:val="32"/>
          <w:lang w:val="en-US" w:eastAsia="zh-CN" w:bidi="ar"/>
        </w:rPr>
        <w:t>中车株洲电机有限公司生产的轨道交通牵引电机，全球、全国、全省的市场占有率分别为26.47%、55.04%、100%，公司是机车车辆牵引变压器国际标准牵头修订单位和国家标准第一起草单位，产品实现了各速度等级、全谱系、多电压制式的系列全覆盖，整体技术水平居于国际领先地位，产品质量得到客户好评，产品出口16个国家，为中国铁路轨道交通高速重载技术的发展做出了贡献，为大力培育制造名城、加快建设幸福株洲作出了贡献。</w:t>
      </w:r>
    </w:p>
    <w:p>
      <w:pPr>
        <w:widowControl/>
        <w:spacing w:line="600" w:lineRule="exact"/>
        <w:jc w:val="center"/>
        <w:rPr>
          <w:rFonts w:hint="eastAsia" w:ascii="方正大标宋简体" w:eastAsia="方正大标宋简体"/>
          <w:color w:val="000000"/>
          <w:sz w:val="36"/>
          <w:szCs w:val="36"/>
        </w:rPr>
      </w:pPr>
    </w:p>
    <w:p>
      <w:pPr>
        <w:widowControl/>
        <w:spacing w:line="600" w:lineRule="exact"/>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2022年度项目支出绩效自评表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sz w:val="20"/>
                <w:szCs w:val="20"/>
              </w:rPr>
            </w:pPr>
            <w:r>
              <w:rPr>
                <w:rFonts w:eastAsia="仿宋_GB2312"/>
                <w:color w:val="000000"/>
                <w:sz w:val="20"/>
                <w:szCs w:val="20"/>
              </w:rPr>
              <w:t>项目支</w:t>
            </w:r>
          </w:p>
          <w:p>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rPr>
              <w:t>国家单项冠军企业（产品）</w:t>
            </w:r>
            <w:r>
              <w:rPr>
                <w:rFonts w:hint="eastAsia" w:eastAsia="仿宋_GB2312"/>
                <w:color w:val="000000"/>
                <w:sz w:val="20"/>
                <w:szCs w:val="20"/>
                <w:lang w:val="en-US" w:eastAsia="zh-CN"/>
              </w:rPr>
              <w:t>奖励</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市工业和信息化局</w:t>
            </w:r>
          </w:p>
        </w:tc>
        <w:tc>
          <w:tcPr>
            <w:tcW w:w="1134" w:type="dxa"/>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政策法规科</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eastAsia="仿宋_GB2312"/>
                <w:color w:val="000000"/>
                <w:sz w:val="20"/>
                <w:szCs w:val="20"/>
              </w:rPr>
            </w:pPr>
            <w:r>
              <w:rPr>
                <w:rFonts w:eastAsia="仿宋_GB2312"/>
                <w:color w:val="000000"/>
                <w:sz w:val="20"/>
                <w:szCs w:val="20"/>
              </w:rPr>
              <w:t>项目资金</w:t>
            </w:r>
          </w:p>
          <w:p>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年初</w:t>
            </w:r>
          </w:p>
          <w:p>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全年</w:t>
            </w:r>
          </w:p>
          <w:p>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全年</w:t>
            </w:r>
          </w:p>
          <w:p>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600万元</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lang w:val="en-US" w:eastAsia="zh-CN"/>
              </w:rPr>
              <w:t>600万元</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lang w:val="en-US" w:eastAsia="zh-CN"/>
              </w:rPr>
              <w:t>600万元</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10分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lang w:val="en-US" w:eastAsia="zh-CN"/>
              </w:rPr>
              <w:t>600万元</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lang w:val="en-US" w:eastAsia="zh-CN"/>
              </w:rPr>
              <w:t>600万元</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lang w:val="en-US" w:eastAsia="zh-CN"/>
              </w:rPr>
              <w:t>600万元</w:t>
            </w:r>
          </w:p>
        </w:tc>
        <w:tc>
          <w:tcPr>
            <w:tcW w:w="82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10分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成功申报6个国家级制造业单项冠军企业（产品）</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lang w:val="en-US" w:eastAsia="zh-CN"/>
              </w:rPr>
              <w:t>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绩</w:t>
            </w:r>
          </w:p>
          <w:p>
            <w:pPr>
              <w:widowControl/>
              <w:jc w:val="center"/>
              <w:rPr>
                <w:rFonts w:eastAsia="仿宋_GB2312"/>
                <w:color w:val="000000"/>
                <w:sz w:val="20"/>
                <w:szCs w:val="20"/>
              </w:rPr>
            </w:pPr>
            <w:r>
              <w:rPr>
                <w:rFonts w:eastAsia="仿宋_GB2312"/>
                <w:color w:val="000000"/>
                <w:sz w:val="20"/>
                <w:szCs w:val="20"/>
              </w:rPr>
              <w:t>效</w:t>
            </w:r>
          </w:p>
          <w:p>
            <w:pPr>
              <w:widowControl/>
              <w:jc w:val="center"/>
              <w:rPr>
                <w:rFonts w:eastAsia="仿宋_GB2312"/>
                <w:color w:val="000000"/>
                <w:sz w:val="20"/>
                <w:szCs w:val="20"/>
              </w:rPr>
            </w:pPr>
            <w:r>
              <w:rPr>
                <w:rFonts w:eastAsia="仿宋_GB2312"/>
                <w:color w:val="000000"/>
                <w:sz w:val="20"/>
                <w:szCs w:val="20"/>
              </w:rPr>
              <w:t>指</w:t>
            </w:r>
          </w:p>
          <w:p>
            <w:pPr>
              <w:widowControl/>
              <w:jc w:val="center"/>
              <w:rPr>
                <w:rFonts w:eastAsia="仿宋_GB2312"/>
                <w:color w:val="000000"/>
                <w:sz w:val="20"/>
                <w:szCs w:val="20"/>
              </w:rPr>
            </w:pPr>
            <w:r>
              <w:rPr>
                <w:rFonts w:eastAsia="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年度</w:t>
            </w:r>
          </w:p>
          <w:p>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实际</w:t>
            </w:r>
          </w:p>
          <w:p>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产出指标</w:t>
            </w:r>
          </w:p>
          <w:p>
            <w:pPr>
              <w:widowControl/>
              <w:jc w:val="center"/>
              <w:rPr>
                <w:rFonts w:eastAsia="仿宋_GB2312"/>
                <w:color w:val="000000"/>
                <w:sz w:val="20"/>
                <w:szCs w:val="20"/>
              </w:rPr>
            </w:pPr>
          </w:p>
          <w:p>
            <w:pPr>
              <w:widowControl/>
              <w:jc w:val="center"/>
              <w:rPr>
                <w:rFonts w:eastAsia="仿宋_GB2312"/>
                <w:color w:val="000000"/>
                <w:sz w:val="20"/>
                <w:szCs w:val="20"/>
              </w:rPr>
            </w:pPr>
            <w:r>
              <w:rPr>
                <w:rFonts w:eastAsia="仿宋_GB2312"/>
                <w:color w:val="000000"/>
                <w:sz w:val="20"/>
                <w:szCs w:val="20"/>
              </w:rPr>
              <w:t>(50分)</w:t>
            </w: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效益指标</w:t>
            </w:r>
          </w:p>
          <w:p>
            <w:pPr>
              <w:widowControl/>
              <w:jc w:val="left"/>
              <w:rPr>
                <w:rFonts w:eastAsia="仿宋_GB2312"/>
                <w:color w:val="000000"/>
                <w:sz w:val="20"/>
                <w:szCs w:val="20"/>
              </w:rPr>
            </w:pPr>
          </w:p>
          <w:p>
            <w:pPr>
              <w:widowControl/>
              <w:jc w:val="left"/>
              <w:rPr>
                <w:rFonts w:eastAsia="仿宋_GB2312"/>
                <w:color w:val="000000"/>
                <w:sz w:val="20"/>
                <w:szCs w:val="20"/>
              </w:rPr>
            </w:pPr>
            <w:r>
              <w:rPr>
                <w:rFonts w:eastAsia="仿宋_GB2312"/>
                <w:color w:val="000000"/>
                <w:sz w:val="20"/>
                <w:szCs w:val="20"/>
              </w:rPr>
              <w:t>（30分）</w:t>
            </w:r>
          </w:p>
          <w:p>
            <w:pPr>
              <w:widowControl/>
              <w:jc w:val="left"/>
              <w:rPr>
                <w:rFonts w:eastAsia="仿宋_GB2312"/>
                <w:color w:val="000000"/>
                <w:sz w:val="20"/>
                <w:szCs w:val="20"/>
              </w:rPr>
            </w:pPr>
            <w:r>
              <w:rPr>
                <w:rFonts w:eastAsia="仿宋_GB2312"/>
                <w:color w:val="000000"/>
                <w:sz w:val="20"/>
                <w:szCs w:val="20"/>
              </w:rPr>
              <w:t>　</w:t>
            </w: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经济效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社会效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生态效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widowControl/>
              <w:jc w:val="center"/>
              <w:rPr>
                <w:rFonts w:eastAsia="仿宋_GB2312"/>
                <w:color w:val="000000"/>
                <w:sz w:val="20"/>
                <w:szCs w:val="20"/>
              </w:rPr>
            </w:pPr>
          </w:p>
        </w:tc>
        <w:tc>
          <w:tcPr>
            <w:tcW w:w="1080" w:type="dxa"/>
            <w:vMerge w:val="continue"/>
            <w:tcBorders>
              <w:left w:val="nil"/>
              <w:right w:val="single" w:color="auto" w:sz="4" w:space="0"/>
            </w:tcBorders>
            <w:noWrap w:val="0"/>
            <w:vAlign w:val="center"/>
          </w:tcPr>
          <w:p>
            <w:pPr>
              <w:widowControl/>
              <w:jc w:val="left"/>
              <w:rPr>
                <w:rFonts w:eastAsia="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满意度</w:t>
            </w:r>
          </w:p>
          <w:p>
            <w:pPr>
              <w:widowControl/>
              <w:jc w:val="center"/>
              <w:rPr>
                <w:rFonts w:eastAsia="仿宋_GB2312"/>
                <w:color w:val="000000"/>
                <w:sz w:val="20"/>
                <w:szCs w:val="20"/>
              </w:rPr>
            </w:pPr>
            <w:r>
              <w:rPr>
                <w:rFonts w:eastAsia="仿宋_GB2312"/>
                <w:color w:val="000000"/>
                <w:sz w:val="20"/>
                <w:szCs w:val="20"/>
              </w:rPr>
              <w:t>指标</w:t>
            </w:r>
          </w:p>
          <w:p>
            <w:pPr>
              <w:widowControl/>
              <w:jc w:val="center"/>
              <w:rPr>
                <w:rFonts w:eastAsia="仿宋_GB2312"/>
                <w:color w:val="000000"/>
                <w:sz w:val="20"/>
                <w:szCs w:val="20"/>
              </w:rPr>
            </w:pPr>
            <w:r>
              <w:rPr>
                <w:rFonts w:eastAsia="仿宋_GB2312"/>
                <w:color w:val="000000"/>
                <w:sz w:val="20"/>
                <w:szCs w:val="20"/>
              </w:rPr>
              <w:t>（10分）</w:t>
            </w: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100分</w:t>
            </w:r>
          </w:p>
        </w:tc>
        <w:tc>
          <w:tcPr>
            <w:tcW w:w="141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p>
        </w:tc>
      </w:tr>
    </w:tbl>
    <w:p>
      <w:pPr>
        <w:rPr>
          <w:rFonts w:eastAsia="仿宋_GB2312"/>
          <w:sz w:val="18"/>
          <w:szCs w:val="18"/>
        </w:rPr>
      </w:pPr>
    </w:p>
    <w:p>
      <w:pPr>
        <w:rPr>
          <w:rFonts w:hint="eastAsia" w:eastAsia="仿宋_GB2312"/>
          <w:szCs w:val="21"/>
        </w:rPr>
      </w:pPr>
    </w:p>
    <w:p>
      <w:pPr>
        <w:pStyle w:val="11"/>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00"/>
    <w:family w:val="script"/>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TcxMDJmNWRhN2ZjNTU4ZTM4NDA5ZGUwYzU1MTMifQ=="/>
  </w:docVars>
  <w:rsids>
    <w:rsidRoot w:val="5BE844FE"/>
    <w:rsid w:val="11C41DF2"/>
    <w:rsid w:val="311B449C"/>
    <w:rsid w:val="33964D71"/>
    <w:rsid w:val="3A5BA69E"/>
    <w:rsid w:val="3C471940"/>
    <w:rsid w:val="5BE844FE"/>
    <w:rsid w:val="6ECF209D"/>
    <w:rsid w:val="73167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lock Text"/>
    <w:basedOn w:val="1"/>
    <w:qFormat/>
    <w:uiPriority w:val="0"/>
    <w:pPr>
      <w:spacing w:line="192" w:lineRule="auto"/>
      <w:ind w:left="113" w:right="113"/>
    </w:pPr>
    <w:rPr>
      <w:rFonts w:ascii="宋体" w:eastAsia="宋体"/>
      <w:spacing w:val="-6"/>
      <w:sz w:val="1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正文文字"/>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2558</Words>
  <Characters>2646</Characters>
  <Lines>0</Lines>
  <Paragraphs>0</Paragraphs>
  <TotalTime>1</TotalTime>
  <ScaleCrop>false</ScaleCrop>
  <LinksUpToDate>false</LinksUpToDate>
  <CharactersWithSpaces>2647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2023-04-27T00:13:00Z</dcterms:created>
  <dc:creator>cp</dc:creator>
  <cp:lastModifiedBy>greatwall</cp:lastModifiedBy>
  <dcterms:modified xsi:type="dcterms:W3CDTF">2023-12-05T16:07:47Z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DF20D63B3C8600DD0AD66E65851C025B</vt:lpwstr>
  </property>
</Properties>
</file>