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eastAsia" w:ascii="黑体" w:hAnsi="黑体" w:eastAsia="黑体"/>
          <w:sz w:val="32"/>
          <w:szCs w:val="32"/>
          <w:lang w:val="en-US" w:eastAsia="zh-CN"/>
        </w:rPr>
      </w:pPr>
      <w:r>
        <w:rPr>
          <w:rFonts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1</w:t>
      </w:r>
      <w:r>
        <w:rPr>
          <w:rFonts w:hint="eastAsia" w:ascii="黑体" w:hAnsi="黑体" w:eastAsia="黑体"/>
          <w:sz w:val="32"/>
          <w:szCs w:val="32"/>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ascii="方正小标宋简体" w:hAnsi="方正小标宋简体" w:eastAsia="方正小标宋简体" w:cs="方正小标宋简体"/>
          <w:color w:val="000000"/>
          <w:kern w:val="0"/>
          <w:sz w:val="41"/>
          <w:szCs w:val="41"/>
          <w:lang w:val="en-US" w:eastAsia="zh-CN" w:bidi="ar"/>
        </w:rPr>
      </w:pPr>
      <w:r>
        <w:rPr>
          <w:rFonts w:ascii="方正小标宋简体" w:hAnsi="方正小标宋简体" w:eastAsia="方正小标宋简体" w:cs="方正小标宋简体"/>
          <w:color w:val="000000"/>
          <w:kern w:val="0"/>
          <w:sz w:val="41"/>
          <w:szCs w:val="41"/>
          <w:lang w:val="en-US" w:eastAsia="zh-CN" w:bidi="ar"/>
        </w:rPr>
        <w:t>202</w:t>
      </w:r>
      <w:r>
        <w:rPr>
          <w:rFonts w:hint="eastAsia" w:ascii="方正小标宋简体" w:hAnsi="方正小标宋简体" w:eastAsia="方正小标宋简体" w:cs="方正小标宋简体"/>
          <w:color w:val="000000"/>
          <w:kern w:val="0"/>
          <w:sz w:val="41"/>
          <w:szCs w:val="41"/>
          <w:lang w:val="en-US" w:eastAsia="zh-CN" w:bidi="ar"/>
        </w:rPr>
        <w:t>2</w:t>
      </w:r>
      <w:r>
        <w:rPr>
          <w:rFonts w:ascii="方正小标宋简体" w:hAnsi="方正小标宋简体" w:eastAsia="方正小标宋简体" w:cs="方正小标宋简体"/>
          <w:color w:val="000000"/>
          <w:kern w:val="0"/>
          <w:sz w:val="41"/>
          <w:szCs w:val="41"/>
          <w:lang w:val="en-US" w:eastAsia="zh-CN" w:bidi="ar"/>
        </w:rPr>
        <w:t xml:space="preserve"> 年度市经济信息产业发展专项资金</w:t>
      </w:r>
    </w:p>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pPr>
      <w:r>
        <w:rPr>
          <w:rFonts w:ascii="方正小标宋简体" w:hAnsi="方正小标宋简体" w:eastAsia="方正小标宋简体" w:cs="方正小标宋简体"/>
          <w:color w:val="000000"/>
          <w:kern w:val="0"/>
          <w:sz w:val="41"/>
          <w:szCs w:val="41"/>
          <w:lang w:val="en-US" w:eastAsia="zh-CN" w:bidi="ar"/>
        </w:rPr>
        <w:t>绩效自评报告</w:t>
      </w:r>
    </w:p>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（市企业服务中心）</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0" w:lineRule="exact"/>
        <w:ind w:firstLine="620" w:firstLineChars="200"/>
        <w:jc w:val="left"/>
        <w:textAlignment w:val="auto"/>
      </w:pPr>
      <w:r>
        <w:rPr>
          <w:rFonts w:ascii="黑体" w:hAnsi="宋体" w:eastAsia="黑体" w:cs="黑体"/>
          <w:color w:val="000000"/>
          <w:kern w:val="0"/>
          <w:sz w:val="31"/>
          <w:szCs w:val="31"/>
          <w:lang w:val="en-US" w:eastAsia="zh-CN" w:bidi="ar"/>
        </w:rPr>
        <w:t>一、预算收支出情况</w:t>
      </w:r>
      <w:r>
        <w:rPr>
          <w:rFonts w:ascii="楷体" w:hAnsi="楷体" w:eastAsia="楷体" w:cs="楷体"/>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2022年预算收入 135.35 万元，其中年初预算135.35万元。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2022年支出127.38万元。结余情况：</w:t>
      </w:r>
      <w:r>
        <w:rPr>
          <w:rFonts w:hint="eastAsia" w:ascii="仿宋_GB2312" w:hAnsi="仿宋_GB2312" w:eastAsia="仿宋_GB2312" w:cs="仿宋_GB2312"/>
          <w:sz w:val="32"/>
          <w:szCs w:val="32"/>
          <w:lang w:val="en-US" w:eastAsia="zh-CN"/>
        </w:rPr>
        <w:t>7.97万元。</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20" w:firstLineChars="200"/>
        <w:jc w:val="left"/>
        <w:textAlignment w:val="auto"/>
      </w:pPr>
      <w:r>
        <w:rPr>
          <w:rFonts w:hint="eastAsia" w:ascii="黑体" w:hAnsi="宋体" w:eastAsia="黑体" w:cs="黑体"/>
          <w:color w:val="000000"/>
          <w:kern w:val="0"/>
          <w:sz w:val="31"/>
          <w:szCs w:val="31"/>
          <w:lang w:val="en-US" w:eastAsia="zh-CN" w:bidi="ar"/>
        </w:rPr>
        <w:t>二、项目支出绩效情况</w:t>
      </w:r>
      <w:r>
        <w:rPr>
          <w:rFonts w:hint="eastAsia" w:ascii="楷体" w:hAnsi="楷体" w:eastAsia="楷体" w:cs="楷体"/>
          <w:b/>
          <w:bCs/>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1.“企业办事不求人”工作经费（80万元）。</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根据要求，市工信局下属的市中小企业发展服务中心成建制调整为市企业服务中心，并面向社会公开招聘5名工作人员组成市“企业办事不求人”工作专班，主要负责企业问题的受理、交办和督办等工作。同时在</w:t>
      </w:r>
      <w:r>
        <w:rPr>
          <w:rFonts w:hint="eastAsia" w:ascii="仿宋_GB2312" w:hAnsi="仿宋_GB2312" w:eastAsia="仿宋_GB2312" w:cs="仿宋_GB2312"/>
          <w:sz w:val="32"/>
          <w:szCs w:val="32"/>
          <w:lang w:val="en-US" w:eastAsia="zh-CN"/>
        </w:rPr>
        <w:t>恢复</w:t>
      </w:r>
      <w:r>
        <w:rPr>
          <w:rFonts w:hint="default" w:ascii="仿宋_GB2312" w:hAnsi="仿宋_GB2312" w:eastAsia="仿宋_GB2312" w:cs="仿宋_GB2312"/>
          <w:sz w:val="32"/>
          <w:szCs w:val="32"/>
          <w:lang w:val="en-US" w:eastAsia="zh-CN"/>
        </w:rPr>
        <w:t>“22212345企业办事不求人”</w:t>
      </w:r>
      <w:r>
        <w:rPr>
          <w:rFonts w:hint="eastAsia" w:ascii="仿宋_GB2312" w:hAnsi="仿宋_GB2312" w:eastAsia="仿宋_GB2312" w:cs="仿宋_GB2312"/>
          <w:sz w:val="32"/>
          <w:szCs w:val="32"/>
          <w:lang w:val="en-US" w:eastAsia="zh-CN"/>
        </w:rPr>
        <w:t>问题交办系统</w:t>
      </w:r>
      <w:r>
        <w:rPr>
          <w:rFonts w:hint="default" w:ascii="仿宋_GB2312" w:hAnsi="仿宋_GB2312" w:eastAsia="仿宋_GB2312" w:cs="仿宋_GB2312"/>
          <w:sz w:val="32"/>
          <w:szCs w:val="32"/>
          <w:lang w:val="en-US" w:eastAsia="zh-CN"/>
        </w:rPr>
        <w:t>，搭建企业问题受理直达通道，实现企业问题快速、专业受理</w:t>
      </w:r>
      <w:r>
        <w:rPr>
          <w:rFonts w:hint="eastAsia" w:ascii="仿宋_GB2312" w:hAnsi="仿宋_GB2312" w:eastAsia="仿宋_GB2312" w:cs="仿宋_GB2312"/>
          <w:sz w:val="32"/>
          <w:szCs w:val="32"/>
          <w:lang w:val="en-US" w:eastAsia="zh-CN"/>
        </w:rPr>
        <w:t>、办理</w:t>
      </w:r>
      <w:r>
        <w:rPr>
          <w:rFonts w:hint="default" w:ascii="仿宋_GB2312" w:hAnsi="仿宋_GB2312" w:eastAsia="仿宋_GB2312" w:cs="仿宋_GB2312"/>
          <w:sz w:val="32"/>
          <w:szCs w:val="32"/>
          <w:lang w:val="en-US" w:eastAsia="zh-CN"/>
        </w:rPr>
        <w:t>。自建立“企业办事不求人”机制以来，市“企业办事不求人”工作专班始终秉持“心甘情愿，心急如焚”的服务理念，坚持主动靠前服务，多措并举，全方位帮助企业纾解痛点堵点难点问题。截至目前，依托“3+N”问题收集机制等多条途径全方位收集企业问题11786个，高效办结了荷塘区电焊条厂资金运转困难、唐人神集团湘大饲料厂物流运输不畅等企业难题11266个，办结率95.59%，满意率达90%。真正实现了“厂内的事情企业管，厂外事情政府办”，不断提升企业的获得感、幸福感和安全感。</w:t>
      </w:r>
      <w:r>
        <w:rPr>
          <w:rFonts w:hint="eastAsia" w:ascii="仿宋_GB2312" w:hAnsi="仿宋_GB2312" w:eastAsia="仿宋_GB2312" w:cs="仿宋_GB2312"/>
          <w:sz w:val="32"/>
          <w:szCs w:val="32"/>
          <w:lang w:val="en-US" w:eastAsia="zh-CN"/>
        </w:rPr>
        <w:t>“企业办事不求人”专班解决的企业问题</w:t>
      </w:r>
      <w:r>
        <w:rPr>
          <w:rFonts w:hint="default" w:ascii="仿宋_GB2312" w:hAnsi="仿宋_GB2312" w:eastAsia="仿宋_GB2312" w:cs="仿宋_GB2312"/>
          <w:sz w:val="32"/>
          <w:szCs w:val="32"/>
          <w:lang w:val="en-US" w:eastAsia="zh-CN"/>
        </w:rPr>
        <w:t>入选2022年度全省服务企业群众“双十大”典型案例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案例受到湖南省政务管理服务局的通报表扬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湖南卫视《午间新闻》，点赞了株洲“企业办事不求人”主动帮助企业纾困解难的做法。</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2.“惠企政策一本通编制及视频制作”费用（27.35万元）。</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编印“惠企政策一本通”口袋书，我们梳理了国、省、市惠企政策900余条，编制发放“口袋书”</w:t>
      </w:r>
      <w:r>
        <w:rPr>
          <w:rFonts w:hint="eastAsia" w:ascii="仿宋_GB2312" w:hAnsi="仿宋_GB2312" w:eastAsia="仿宋_GB2312" w:cs="仿宋_GB2312"/>
          <w:sz w:val="32"/>
          <w:szCs w:val="32"/>
          <w:lang w:val="en-US" w:eastAsia="zh-CN"/>
        </w:rPr>
        <w:t>1.0版和2.0版共</w:t>
      </w:r>
      <w:r>
        <w:rPr>
          <w:rFonts w:hint="default" w:ascii="仿宋_GB2312" w:hAnsi="仿宋_GB2312" w:eastAsia="仿宋_GB2312" w:cs="仿宋_GB2312"/>
          <w:sz w:val="32"/>
          <w:szCs w:val="32"/>
          <w:lang w:val="en-US" w:eastAsia="zh-CN"/>
        </w:rPr>
        <w:t>1.2万册，同时以电子书的形式发放企业，得到了社会非常好的反响。拍摄“政策会客厅”惠企政策解读短视频。由工信干部和行业内专家来解说企业关注的热点政策，通过抖音号、视频号、公众号等多渠道进行发布。</w:t>
      </w:r>
      <w:r>
        <w:rPr>
          <w:rFonts w:hint="eastAsia" w:ascii="仿宋_GB2312" w:hAnsi="仿宋_GB2312" w:eastAsia="仿宋_GB2312" w:cs="仿宋_GB2312"/>
          <w:sz w:val="32"/>
          <w:szCs w:val="32"/>
          <w:lang w:val="en-US" w:eastAsia="zh-CN"/>
        </w:rPr>
        <w:t>惠企业视频受到企业的强烈反响，点击量近20万次。</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3.“制造名城”微信群宣传视频制作费用（18万元）。</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服务企业发展，帮助企业办实事、解难题，营造稳定、公平、透明和可预期的营商环境，建立了“制造名城”监督与服务微信群，主要发挥监督哨、信息港、公告栏、互助台、帮代办五大功能，做到“微信群里按一按、急难愁盼有人办”。全市共搭建“制造名城”企业服务微信群2069个，入群市场主体近15万人，累计在线答复企业各类咨询2.5万个，解决企业问题1207个。制作宣传动画、产业推广、走进名企等视频11个。</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4.“周末企业大讲堂”开展费用（10万元）。</w:t>
      </w:r>
    </w:p>
    <w:p>
      <w:pPr>
        <w:keepNext w:val="0"/>
        <w:keepLines w:val="0"/>
        <w:pageBreakBefore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末企业大讲堂”是株洲市工信局帮扶企业的创新举措。采取利用周末时间组织企业集中培训，邀请相关部门、机构、院校的专家传道、授业、解惑，指导企业化解发展中的痛点难点问题。此项活动历时一年，共举办5个专场，涉及</w:t>
      </w:r>
      <w:r>
        <w:rPr>
          <w:rFonts w:hint="eastAsia" w:ascii="仿宋_GB2312" w:hAnsi="仿宋_GB2312" w:eastAsia="仿宋_GB2312" w:cs="仿宋_GB2312"/>
          <w:sz w:val="32"/>
          <w:szCs w:val="32"/>
          <w:highlight w:val="none"/>
          <w:lang w:val="en-US" w:eastAsia="zh-CN"/>
        </w:rPr>
        <w:t>精益生产、股权激励、政策解读、薪资设计等5个</w:t>
      </w:r>
      <w:r>
        <w:rPr>
          <w:rFonts w:hint="eastAsia" w:ascii="仿宋_GB2312" w:hAnsi="仿宋_GB2312" w:eastAsia="仿宋_GB2312" w:cs="仿宋_GB2312"/>
          <w:sz w:val="32"/>
          <w:szCs w:val="32"/>
          <w:lang w:val="en-US" w:eastAsia="zh-CN"/>
        </w:rPr>
        <w:t>专题，线上、线下参与企业1000余家。活动形式新颖、内容丰富、参与度高，是工信局帮扶企业的一次成功实践，对于帮助企业提振信心、更新理念、借力发展发挥了重要作用，受到了广大企业的高度赞誉。</w:t>
      </w:r>
    </w:p>
    <w:p>
      <w:pPr>
        <w:pStyle w:val="6"/>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p>
    <w:p>
      <w:pPr>
        <w:widowControl/>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2022年度项目支出绩效自评表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281"/>
        <w:gridCol w:w="681"/>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lang w:eastAsia="zh-CN"/>
              </w:rPr>
              <w:t>企业服务中心专项经费</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eastAsia="zh-CN"/>
              </w:rPr>
            </w:pPr>
            <w:r>
              <w:rPr>
                <w:rFonts w:hint="eastAsia" w:eastAsia="仿宋_GB2312"/>
                <w:color w:val="000000"/>
                <w:sz w:val="20"/>
                <w:szCs w:val="20"/>
                <w:lang w:eastAsia="zh-CN"/>
              </w:rPr>
              <w:t>株洲市工业和信息化局</w:t>
            </w:r>
          </w:p>
        </w:tc>
        <w:tc>
          <w:tcPr>
            <w:tcW w:w="1281"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7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eastAsia="zh-CN"/>
              </w:rPr>
            </w:pPr>
            <w:r>
              <w:rPr>
                <w:rFonts w:hint="eastAsia" w:eastAsia="仿宋_GB2312"/>
                <w:color w:val="000000"/>
                <w:sz w:val="20"/>
                <w:szCs w:val="20"/>
                <w:lang w:eastAsia="zh-CN"/>
              </w:rPr>
              <w:t>企业服务中心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281"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681"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得分</w:t>
            </w:r>
          </w:p>
        </w:tc>
      </w:tr>
      <w:tr>
        <w:tblPrEx>
          <w:tblCellMar>
            <w:top w:w="0" w:type="dxa"/>
            <w:left w:w="108" w:type="dxa"/>
            <w:bottom w:w="0" w:type="dxa"/>
            <w:right w:w="108" w:type="dxa"/>
          </w:tblCellMar>
        </w:tblPrEx>
        <w:trPr>
          <w:trHeight w:val="19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135.35</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127.38</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94%</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9.4</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135.35</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127.38</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281"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81"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eastAsia="zh-CN"/>
              </w:rPr>
              <w:t>开展</w:t>
            </w:r>
            <w:r>
              <w:rPr>
                <w:rFonts w:hint="eastAsia" w:eastAsia="仿宋_GB2312"/>
                <w:color w:val="000000"/>
                <w:sz w:val="20"/>
                <w:szCs w:val="20"/>
                <w:lang w:val="en-US" w:eastAsia="zh-CN"/>
              </w:rPr>
              <w:t>周末企业大讲堂</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281"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印发口袋书</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10000册</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10000册</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制造名城微信群宣传视频</w:t>
            </w:r>
          </w:p>
        </w:tc>
        <w:tc>
          <w:tcPr>
            <w:tcW w:w="1134"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11个</w:t>
            </w:r>
          </w:p>
        </w:tc>
        <w:tc>
          <w:tcPr>
            <w:tcW w:w="128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11个</w:t>
            </w:r>
          </w:p>
        </w:tc>
        <w:tc>
          <w:tcPr>
            <w:tcW w:w="681" w:type="dxa"/>
            <w:tcBorders>
              <w:top w:val="nil"/>
              <w:left w:val="nil"/>
              <w:bottom w:val="single" w:color="auto" w:sz="4" w:space="0"/>
              <w:right w:val="single" w:color="auto" w:sz="4" w:space="0"/>
            </w:tcBorders>
            <w:noWrap w:val="0"/>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抖音视频</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100个</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100个</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企业问题办结</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&gt;90%</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95.66%</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企业问题交办</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24小时内交办，5-10个工作日办结</w:t>
            </w:r>
          </w:p>
        </w:tc>
        <w:tc>
          <w:tcPr>
            <w:tcW w:w="1281"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完成</w:t>
            </w:r>
          </w:p>
        </w:tc>
        <w:tc>
          <w:tcPr>
            <w:tcW w:w="681"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发展环境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助推株洲经济发展。</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营造了和谐、温暖、公平、安全的发展环境</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长效机制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建立服务企业的长效机制</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建立专班，常态长效开展</w:t>
            </w:r>
          </w:p>
        </w:tc>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企业办事不求人问题办理满意度</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&gt;90%</w:t>
            </w:r>
          </w:p>
        </w:tc>
        <w:tc>
          <w:tcPr>
            <w:tcW w:w="12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90.5%</w:t>
            </w:r>
          </w:p>
        </w:tc>
        <w:tc>
          <w:tcPr>
            <w:tcW w:w="681"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681"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trHeight w:val="431" w:hRule="atLeast"/>
          <w:jc w:val="center"/>
        </w:trPr>
        <w:tc>
          <w:tcPr>
            <w:tcW w:w="6879"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681"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99.4</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bl>
    <w:p>
      <w:pPr>
        <w:pStyle w:val="6"/>
        <w:rPr>
          <w:rFonts w:hint="default"/>
          <w:lang w:val="en-US" w:eastAsia="zh-CN"/>
        </w:rPr>
      </w:pPr>
      <w:bookmarkStart w:id="0" w:name="_GoBack"/>
      <w:bookmarkEnd w:id="0"/>
    </w:p>
    <w:sectPr>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WNiMzcyOTMyNDc0NmJmN2VlZDQ0OGRiNDYzY2MifQ=="/>
  </w:docVars>
  <w:rsids>
    <w:rsidRoot w:val="5BE844FE"/>
    <w:rsid w:val="2B7ACD65"/>
    <w:rsid w:val="3FA3C63F"/>
    <w:rsid w:val="3FF7AB34"/>
    <w:rsid w:val="56AEC921"/>
    <w:rsid w:val="5BE844FE"/>
    <w:rsid w:val="5FCB5E2E"/>
    <w:rsid w:val="66BF7AC2"/>
    <w:rsid w:val="7EE71732"/>
    <w:rsid w:val="7FFF23B9"/>
    <w:rsid w:val="A73B4435"/>
    <w:rsid w:val="CFF78764"/>
    <w:rsid w:val="CFFF8A28"/>
    <w:rsid w:val="D6F90EAC"/>
    <w:rsid w:val="DFFFB541"/>
    <w:rsid w:val="EFF7EBC1"/>
    <w:rsid w:val="F9FF2E1A"/>
    <w:rsid w:val="FFA3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Heading4"/>
    <w:basedOn w:val="1"/>
    <w:next w:val="1"/>
    <w:qFormat/>
    <w:uiPriority w:val="0"/>
    <w:pPr>
      <w:keepNext/>
      <w:keepLines/>
      <w:spacing w:line="480" w:lineRule="auto"/>
      <w:jc w:val="center"/>
    </w:pPr>
    <w:rPr>
      <w:rFonts w:ascii="Arial" w:hAnsi="Arial" w:eastAsia="楷体_GB2312" w:cs="Times New Roman"/>
      <w:b/>
      <w:sz w:val="32"/>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1883</Characters>
  <Lines>0</Lines>
  <Paragraphs>0</Paragraphs>
  <TotalTime>0</TotalTime>
  <ScaleCrop>false</ScaleCrop>
  <LinksUpToDate>false</LinksUpToDate>
  <CharactersWithSpaces>2041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2023-04-27T00:13:00Z</dcterms:created>
  <dc:creator>cp</dc:creator>
  <cp:lastModifiedBy>greatwall</cp:lastModifiedBy>
  <dcterms:modified xsi:type="dcterms:W3CDTF">2023-12-05T16:01:51Z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3264B122660A190FEFD86E652B262D67</vt:lpwstr>
  </property>
</Properties>
</file>