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6"/>
        <w:tblOverlap w:val="never"/>
        <w:tblW w:w="15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7"/>
        <w:gridCol w:w="1970"/>
        <w:gridCol w:w="771"/>
        <w:gridCol w:w="866"/>
        <w:gridCol w:w="676"/>
        <w:gridCol w:w="2648"/>
        <w:gridCol w:w="5529"/>
        <w:gridCol w:w="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00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部门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"/>
                <w:sz w:val="21"/>
                <w:szCs w:val="21"/>
              </w:rPr>
              <w:t>整体绩效目标申报表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5400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</w:rPr>
              <w:t>2024年度</w:t>
            </w:r>
            <w:r>
              <w:rPr>
                <w:rFonts w:hint="default" w:ascii="Times New Roman" w:hAnsi="Times New Roman" w:cs="Times New Roman"/>
                <w:spacing w:val="5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1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</w:rPr>
              <w:t>部门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</w:rPr>
              <w:t>单位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职责</w:t>
            </w:r>
          </w:p>
        </w:tc>
        <w:tc>
          <w:tcPr>
            <w:tcW w:w="14416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年度履职目标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部门单位名称</w:t>
            </w:r>
          </w:p>
        </w:tc>
        <w:tc>
          <w:tcPr>
            <w:tcW w:w="14416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株洲市工业和信息化局机关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firstLine="1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</w:rPr>
              <w:t>部门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</w:rPr>
              <w:t>单位</w:t>
            </w:r>
            <w:r>
              <w:rPr>
                <w:rFonts w:hint="default" w:ascii="Times New Roman" w:hAnsi="Times New Roman" w:eastAsia="黑体" w:cs="Times New Roman"/>
                <w:spacing w:val="-12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职责</w:t>
            </w:r>
          </w:p>
        </w:tc>
        <w:tc>
          <w:tcPr>
            <w:tcW w:w="14416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根据本市国民经济和社会发展总体规划，拟定全市工业和信息化领域的发展规化、年度计划及相关政策并组织实施。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年度总体目标</w:t>
            </w:r>
          </w:p>
        </w:tc>
        <w:tc>
          <w:tcPr>
            <w:tcW w:w="14416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全面贯彻市委、市政府决策部署，完整准确全面贯彻新发展理念，按照“聚焦、裂变、创新、升级、品牌”工作思路，全力推进新型工业化，加快构建新发展格局，着力推动高质量发展，奋力培育制造名城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，打造国家重要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先进制造业高地，全力推动株洲先进制造业代表国家深度参与全球竞争、实现并领跑。1.突出稳增长，全力振作工业经济运行。2.突出培育企业，培育壮大工业市场主体。3.突出建链群，加快构建现代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产业体系。4.突出强园区，深入推进“五好”园区创建。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5400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绩效指标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一级指标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hanging="209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指标值类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 xml:space="preserve"> 型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指标值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计量单位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评/扣分标准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新增省级“小巨人”企业数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40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家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新增省级“小巨人”企业数值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hanging="83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5"/>
                <w:szCs w:val="15"/>
              </w:rPr>
              <w:t>新增国家级“小巨人”企业</w:t>
            </w:r>
            <w:r>
              <w:rPr>
                <w:rFonts w:hint="default" w:ascii="Times New Roman" w:hAnsi="Times New Roman" w:eastAsia="黑体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数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15"/>
                <w:szCs w:val="15"/>
              </w:rPr>
              <w:t>15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家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新增国家级“小巨人”企业数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规模工业增长率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7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规模工业增长率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技改投资增长率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5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技改投资增长率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园区技工贸总收入增长率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8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园区技工贸总收入增长率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数量指标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新增省级及以上创新平台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15"/>
                <w:szCs w:val="15"/>
              </w:rPr>
              <w:t>10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15"/>
                <w:szCs w:val="15"/>
              </w:rPr>
              <w:t>新增省级及以上创新平台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质量指标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制造业增加值占GDP比重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32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制造业增加值占GDP比重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时效指标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资金拨付进度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position w:val="-2"/>
                <w:sz w:val="15"/>
                <w:szCs w:val="15"/>
              </w:rPr>
              <w:t>=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15"/>
                <w:szCs w:val="15"/>
              </w:rPr>
              <w:t>100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按财政要求及时拨付资金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产出指标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时效指标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部门预决算公开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定性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按要求及时公开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是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按财政要求做好部门预决算公开工作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完成得分，未完成不得分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经济效益指标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园区技工贸收入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5500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亿元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园区技工贸收入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完成率小于60%不得分，大于等于60%,得分=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完成率-60%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1-6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0%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*指标分值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社会效益指标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五好园区创建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定性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有序推进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有序推进五好园区创建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完成得分，未完成不得分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社会效益指标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企业培育成效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定性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4"/>
                <w:sz w:val="15"/>
                <w:szCs w:val="15"/>
              </w:rPr>
              <w:t>明显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企业培育成效明显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完成得分，未完成不得分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生态效益指标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效益指标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可持续影响指标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产业生态环境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定性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持续优化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持续优化产业生态环境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完成得分，未完成不得分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满意度指标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hanging="36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服务对象满意度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群众满意度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≥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90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%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群众对我部门工作的满意程度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hanging="1289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满意度大于等于90%得8分，小于90%且大于等于80%得7分，满意度小于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等于80%且大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于等于60%得6分，满意度小于60%不得分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成本指标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经济成本指标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机关内人力成本</w:t>
            </w:r>
          </w:p>
        </w:tc>
        <w:tc>
          <w:tcPr>
            <w:tcW w:w="77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≤</w:t>
            </w: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1950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15"/>
                <w:szCs w:val="15"/>
              </w:rPr>
              <w:t>万元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机关内人员成本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不包含公用经费支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15"/>
                <w:szCs w:val="15"/>
              </w:rPr>
              <w:t>出，只计算人员类支出</w:t>
            </w:r>
            <w:r>
              <w:rPr>
                <w:rFonts w:hint="default" w:ascii="Times New Roman" w:hAnsi="Times New Roman" w:eastAsia="黑体" w:cs="Times New Roman"/>
                <w:spacing w:val="2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成本小于等于1950万元得2分，大于1950万元不得分。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成本指标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社会成本指标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15"/>
                <w:szCs w:val="15"/>
              </w:rPr>
              <w:t>成本指标</w:t>
            </w:r>
          </w:p>
        </w:tc>
        <w:tc>
          <w:tcPr>
            <w:tcW w:w="11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 w:hanging="419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15"/>
                <w:szCs w:val="15"/>
              </w:rPr>
              <w:t>生态环境成本指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 xml:space="preserve"> 标</w:t>
            </w:r>
          </w:p>
        </w:tc>
        <w:tc>
          <w:tcPr>
            <w:tcW w:w="197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</w:p>
        </w:tc>
        <w:tc>
          <w:tcPr>
            <w:tcW w:w="86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6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26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55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  <w:tc>
          <w:tcPr>
            <w:tcW w:w="7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907" w:lineRule="exact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default" w:ascii="Times New Roman" w:hAnsi="Times New Roman" w:eastAsia="Arial" w:cs="Times New Roman"/>
          <w:sz w:val="21"/>
          <w:szCs w:val="21"/>
        </w:rPr>
        <w:sectPr>
          <w:pgSz w:w="16840" w:h="1191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184" w:lineRule="exact"/>
        <w:textAlignment w:val="baseline"/>
        <w:rPr>
          <w:rFonts w:hint="default" w:ascii="Times New Roman" w:hAnsi="Times New Roman" w:cs="Times New Roman"/>
        </w:rPr>
      </w:pPr>
    </w:p>
    <w:tbl>
      <w:tblPr>
        <w:tblStyle w:val="5"/>
        <w:tblW w:w="9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88"/>
        <w:gridCol w:w="1319"/>
        <w:gridCol w:w="869"/>
        <w:gridCol w:w="769"/>
        <w:gridCol w:w="749"/>
        <w:gridCol w:w="1249"/>
        <w:gridCol w:w="1569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659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项目绩效目标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7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绩效目标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根据《株洲市2023年产业发展“千百十”工程实施方案》、《关于深化园区体制机制改革推动“五好”园区创建的实施意见》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株发〔2022〕6号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、《株洲市中小企业公共服务体系建设及管理办法》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株工信发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〔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〕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15号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、《关于印发&lt;株洲市培育规模以上工业企业实施方案&gt;的通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知》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株政办发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〔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〕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1号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、《洲市专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精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特新中小企业增育行动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方案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2022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）》（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株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政办发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〔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val="en-US" w:eastAsia="zh-CN"/>
              </w:rPr>
              <w:t>〕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7号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）、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关于印发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《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株洲市“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val="en-US" w:eastAsia="zh-CN"/>
              </w:rPr>
              <w:t>四个一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批”标杆中小企业认定管理暂行办法》的通知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株工信发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〔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15"/>
                <w:szCs w:val="15"/>
                <w:lang w:eastAsia="zh-CN"/>
              </w:rPr>
              <w:t>〕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32号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</w:rPr>
              <w:t>等系列文件，为全力建设制造名城，加快打造重要先进制造业高地，市工信局立足推进新型工业化目标，围绕“3+3+2”现代产业体系，统筹推动产业发展“千百十”工程、智赋千企、三送三解三优等重点工作，力 争实现工业经济稳增长</w:t>
            </w:r>
            <w:r>
              <w:rPr>
                <w:rFonts w:hint="default" w:ascii="Times New Roman" w:hAnsi="Times New Roman" w:cs="Times New Roman" w:eastAsiaTheme="minorEastAsia"/>
                <w:spacing w:val="0"/>
                <w:sz w:val="15"/>
                <w:szCs w:val="15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659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分解指标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7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一级指标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指标值类型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指标值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度量单位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指标值内容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15"/>
                <w:szCs w:val="15"/>
              </w:rPr>
              <w:t>评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5"/>
                <w:szCs w:val="15"/>
              </w:rPr>
              <w:t>扣分标准</w:t>
            </w:r>
            <w:r>
              <w:rPr>
                <w:rFonts w:hint="default" w:ascii="Times New Roman" w:hAnsi="Times New Roman" w:cs="Times New Roman" w:eastAsiaTheme="minorEastAsia"/>
                <w:spacing w:val="4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成本指标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经济成本指标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专项资金使用率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15"/>
                <w:szCs w:val="15"/>
              </w:rPr>
              <w:t>90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%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专项资金使用率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90%以上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使用率大于等于90%的得满分，其他按比例扣分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社会成本指标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企业验收合格率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15"/>
                <w:szCs w:val="15"/>
              </w:rPr>
              <w:t>100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%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企业验收合格率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达100%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验收合格率达100%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得满分，其他按比例扣分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生态环境成本指标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产出指标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数量指标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中小企业专项国、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省“专精特新”小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巨人专项补助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30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家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新增国省“专精特新”小巨人30家以上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完成比例赋分，完成率小于60%为不及格，不得分；大于等于60%的，按超过的比重赋分，计算公式为：得分=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实际完成率-60%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×指标分值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质量指标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推动企业向智能化转型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家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新增智能制造标杆车间、企业10个以上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完成比例赋分，完成率小于60%为不及格，不得分；大于等于60%的，按超过的比重赋分，计算公式为：得分=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实际完成率-60%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×指标分值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时效指标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补助资金按时发放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%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补助资金按时发放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资金准时到企，得满分，其他按比例扣分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7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效益指标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经济效益指标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全年园区技工贸总收入实现增长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5500</w:t>
            </w:r>
          </w:p>
        </w:tc>
        <w:tc>
          <w:tcPr>
            <w:tcW w:w="7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亿元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全年园区技工贸总收入超5500亿元</w:t>
            </w:r>
          </w:p>
        </w:tc>
        <w:tc>
          <w:tcPr>
            <w:tcW w:w="15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完成比例赋分，完成率小于60%为不及格，不得分：大于等于60%的，按超过的比重赋分，计算公式为：得分=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实际完成率-60%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×指标分值</w:t>
            </w:r>
          </w:p>
        </w:tc>
        <w:tc>
          <w:tcPr>
            <w:tcW w:w="99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15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ind w:left="0" w:right="0"/>
        <w:jc w:val="center"/>
        <w:textAlignment w:val="baseline"/>
        <w:rPr>
          <w:rFonts w:hint="default" w:ascii="Times New Roman" w:hAnsi="Times New Roman" w:cs="Times New Roman" w:eastAsiaTheme="minorEastAsia"/>
          <w:spacing w:val="-1"/>
          <w:sz w:val="15"/>
          <w:szCs w:val="15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ind w:left="0" w:right="0"/>
        <w:jc w:val="center"/>
        <w:textAlignment w:val="baseline"/>
        <w:rPr>
          <w:rFonts w:hint="default" w:ascii="Times New Roman" w:hAnsi="Times New Roman" w:cs="Times New Roman" w:eastAsiaTheme="minorEastAsia"/>
          <w:spacing w:val="-1"/>
          <w:sz w:val="15"/>
          <w:szCs w:val="15"/>
        </w:rPr>
        <w:sectPr>
          <w:pgSz w:w="11910" w:h="16840"/>
          <w:pgMar w:top="1984" w:right="1531" w:bottom="1701" w:left="1531" w:header="0" w:footer="0" w:gutter="0"/>
          <w:cols w:space="720" w:num="1"/>
        </w:sect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ind w:left="0" w:right="0"/>
        <w:jc w:val="center"/>
        <w:textAlignment w:val="baseline"/>
        <w:rPr>
          <w:rFonts w:hint="default" w:ascii="Times New Roman" w:hAnsi="Times New Roman" w:cs="Times New Roman" w:eastAsiaTheme="minorEastAsia"/>
          <w:spacing w:val="-1"/>
          <w:sz w:val="15"/>
          <w:szCs w:val="15"/>
        </w:rPr>
      </w:pPr>
    </w:p>
    <w:tbl>
      <w:tblPr>
        <w:tblStyle w:val="5"/>
        <w:tblW w:w="9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88"/>
        <w:gridCol w:w="1319"/>
        <w:gridCol w:w="879"/>
        <w:gridCol w:w="759"/>
        <w:gridCol w:w="759"/>
        <w:gridCol w:w="1249"/>
        <w:gridCol w:w="1548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一级指标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二级指标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三级指标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指标值类型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指标值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度量单位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指标值内容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评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扣分标准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7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效益指标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社会效益指标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规模以上工业增加值增速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%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规模以上工业增加值增速5%以上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按评判等级赋分，5%以上得满分，其他按比例扣分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生态效益指标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推动企业向绿色化转型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50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家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完成自愿性清洁生产审核企业50家以上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完成比例赋分，完成率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小于60%为不及格，不得分；大于等于60%的，按超过的比重赋分，计算公式为：得分=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实际完成率-60%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1-60%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×指标分值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75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可持续影响指标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满意度指标</w:t>
            </w:r>
          </w:p>
        </w:tc>
        <w:tc>
          <w:tcPr>
            <w:tcW w:w="13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服务对象满意度指标</w:t>
            </w:r>
          </w:p>
        </w:tc>
        <w:tc>
          <w:tcPr>
            <w:tcW w:w="131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满意度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≥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90</w:t>
            </w:r>
          </w:p>
        </w:tc>
        <w:tc>
          <w:tcPr>
            <w:tcW w:w="7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%</w:t>
            </w:r>
          </w:p>
        </w:tc>
        <w:tc>
          <w:tcPr>
            <w:tcW w:w="12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服务对象满意度90%以上</w:t>
            </w:r>
          </w:p>
        </w:tc>
        <w:tc>
          <w:tcPr>
            <w:tcW w:w="154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满意度大于等于90%的得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0分，其他按比例扣分</w:t>
            </w: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15"/>
                <w:szCs w:val="15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pgSz w:w="11910" w:h="16840"/>
      <w:pgMar w:top="1984" w:right="1531" w:bottom="1701" w:left="153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0MGQ1ZDc1NzZiN2NlMjU5OWUzNGM4YzZhMzMyOGQifQ=="/>
  </w:docVars>
  <w:rsids>
    <w:rsidRoot w:val="00000000"/>
    <w:rsid w:val="04FF1336"/>
    <w:rsid w:val="349A3180"/>
    <w:rsid w:val="3C2E17CD"/>
    <w:rsid w:val="50B449C8"/>
    <w:rsid w:val="5190780E"/>
    <w:rsid w:val="5E0D73FF"/>
    <w:rsid w:val="E6BC1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8304</Words>
  <Characters>9595</Characters>
  <TotalTime>98</TotalTime>
  <ScaleCrop>false</ScaleCrop>
  <LinksUpToDate>false</LinksUpToDate>
  <CharactersWithSpaces>9710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2024-02-29T19:27:00Z</dcterms:created>
  <dc:creator>Kingsoft-PDF</dc:creator>
  <cp:lastModifiedBy>kylin</cp:lastModifiedBy>
  <dcterms:modified xsi:type="dcterms:W3CDTF">2024-03-08T09:33:12Z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2024-02-29T11:27:39Z</vt:filetime>
  </property>
  <property fmtid="{D5CDD505-2E9C-101B-9397-08002B2CF9AE}" pid="4" name="UsrData">
    <vt:lpwstr>65dff9a179a864001fff4e7bwl</vt:lpwstr>
  </property>
  <property fmtid="{D5CDD505-2E9C-101B-9397-08002B2CF9AE}" pid="5" name="KSOProductBuildVer">
    <vt:lpwstr>2052-11.8.2.11764</vt:lpwstr>
  </property>
  <property fmtid="{D5CDD505-2E9C-101B-9397-08002B2CF9AE}" pid="6" name="ICV">
    <vt:lpwstr>A564212FA8E9C00DD86AEA652E73E079</vt:lpwstr>
  </property>
</Properties>
</file>