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rPr>
          <w:rFonts w:hint="eastAsia"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附件</w:t>
      </w:r>
      <w:r>
        <w:rPr>
          <w:rFonts w:hint="eastAsia" w:eastAsia="黑体" w:cs="Times New Roman"/>
          <w:b w:val="0"/>
          <w:bCs w:val="0"/>
          <w:sz w:val="32"/>
          <w:szCs w:val="32"/>
          <w:lang w:val="en-US" w:eastAsia="zh-CN"/>
        </w:rPr>
        <w:t>1</w:t>
      </w:r>
    </w:p>
    <w:p>
      <w:pPr>
        <w:spacing w:after="120" w:afterLines="50" w:line="600" w:lineRule="exact"/>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202</w:t>
      </w:r>
      <w:r>
        <w:rPr>
          <w:rFonts w:hint="default" w:ascii="Times New Roman" w:hAnsi="Times New Roman" w:eastAsia="方正小标宋简体" w:cs="Times New Roman"/>
          <w:b w:val="0"/>
          <w:bCs w:val="0"/>
          <w:sz w:val="36"/>
          <w:szCs w:val="36"/>
          <w:lang w:val="en-US" w:eastAsia="zh-CN"/>
        </w:rPr>
        <w:t>4</w:t>
      </w:r>
      <w:r>
        <w:rPr>
          <w:rFonts w:hint="default" w:ascii="Times New Roman" w:hAnsi="Times New Roman" w:eastAsia="方正小标宋简体" w:cs="Times New Roman"/>
          <w:b w:val="0"/>
          <w:bCs w:val="0"/>
          <w:sz w:val="36"/>
          <w:szCs w:val="36"/>
        </w:rPr>
        <w:t>年度部门（单位）整体支出绩效评价基础数据表</w:t>
      </w:r>
    </w:p>
    <w:p>
      <w:pPr>
        <w:spacing w:after="120" w:afterLines="50" w:line="600" w:lineRule="exact"/>
        <w:jc w:val="center"/>
        <w:rPr>
          <w:rFonts w:hint="default" w:ascii="Times New Roman" w:hAnsi="Times New Roman" w:eastAsia="方正小标宋简体" w:cs="Times New Roman"/>
          <w:b w:val="0"/>
          <w:bCs w:val="0"/>
          <w:sz w:val="36"/>
          <w:szCs w:val="36"/>
        </w:rPr>
      </w:pPr>
    </w:p>
    <w:tbl>
      <w:tblPr>
        <w:tblStyle w:val="22"/>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财政供养人员情况（人）</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编制数</w:t>
            </w: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202</w:t>
            </w:r>
            <w:r>
              <w:rPr>
                <w:rFonts w:hint="default" w:ascii="Times New Roman" w:hAnsi="Times New Roman" w:eastAsia="仿宋_GB2312" w:cs="Times New Roman"/>
                <w:b w:val="0"/>
                <w:bCs w:val="0"/>
                <w:sz w:val="20"/>
                <w:szCs w:val="20"/>
                <w:lang w:val="en-US" w:eastAsia="zh-CN"/>
              </w:rPr>
              <w:t>4</w:t>
            </w:r>
            <w:r>
              <w:rPr>
                <w:rFonts w:hint="default" w:ascii="Times New Roman" w:hAnsi="Times New Roman" w:eastAsia="仿宋_GB2312" w:cs="Times New Roman"/>
                <w:b w:val="0"/>
                <w:bCs w:val="0"/>
                <w:sz w:val="20"/>
                <w:szCs w:val="20"/>
              </w:rPr>
              <w:t>年实际在职人数</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96</w:t>
            </w: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90</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93.75%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经费控制情况（万元）</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202</w:t>
            </w:r>
            <w:r>
              <w:rPr>
                <w:rFonts w:hint="default" w:ascii="Times New Roman" w:hAnsi="Times New Roman" w:eastAsia="仿宋_GB2312" w:cs="Times New Roman"/>
                <w:b w:val="0"/>
                <w:bCs w:val="0"/>
                <w:sz w:val="20"/>
                <w:szCs w:val="20"/>
                <w:lang w:val="en-US" w:eastAsia="zh-CN"/>
              </w:rPr>
              <w:t>3</w:t>
            </w:r>
            <w:r>
              <w:rPr>
                <w:rFonts w:hint="default" w:ascii="Times New Roman" w:hAnsi="Times New Roman" w:eastAsia="仿宋_GB2312" w:cs="Times New Roman"/>
                <w:b w:val="0"/>
                <w:bCs w:val="0"/>
                <w:sz w:val="20"/>
                <w:szCs w:val="20"/>
              </w:rPr>
              <w:t>年决算数</w:t>
            </w: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202</w:t>
            </w:r>
            <w:r>
              <w:rPr>
                <w:rFonts w:hint="default" w:ascii="Times New Roman" w:hAnsi="Times New Roman" w:eastAsia="仿宋_GB2312" w:cs="Times New Roman"/>
                <w:b w:val="0"/>
                <w:bCs w:val="0"/>
                <w:sz w:val="20"/>
                <w:szCs w:val="20"/>
                <w:lang w:val="en-US" w:eastAsia="zh-CN"/>
              </w:rPr>
              <w:t>4</w:t>
            </w:r>
            <w:r>
              <w:rPr>
                <w:rFonts w:hint="default" w:ascii="Times New Roman" w:hAnsi="Times New Roman" w:eastAsia="仿宋_GB2312" w:cs="Times New Roman"/>
                <w:b w:val="0"/>
                <w:bCs w:val="0"/>
                <w:sz w:val="20"/>
                <w:szCs w:val="20"/>
              </w:rPr>
              <w:t>年预算数</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202</w:t>
            </w:r>
            <w:r>
              <w:rPr>
                <w:rFonts w:hint="default" w:ascii="Times New Roman" w:hAnsi="Times New Roman" w:eastAsia="仿宋_GB2312" w:cs="Times New Roman"/>
                <w:b w:val="0"/>
                <w:bCs w:val="0"/>
                <w:sz w:val="20"/>
                <w:szCs w:val="20"/>
                <w:lang w:val="en-US" w:eastAsia="zh-CN"/>
              </w:rPr>
              <w:t>4</w:t>
            </w:r>
            <w:r>
              <w:rPr>
                <w:rFonts w:hint="default" w:ascii="Times New Roman" w:hAnsi="Times New Roman" w:eastAsia="仿宋_GB2312" w:cs="Times New Roman"/>
                <w:b w:val="0"/>
                <w:bCs w:val="0"/>
                <w:sz w:val="20"/>
                <w:szCs w:val="2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三公经费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64.45</w:t>
            </w: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59.3</w:t>
            </w:r>
            <w:r>
              <w:rPr>
                <w:rFonts w:hint="eastAsia" w:ascii="Times New Roman" w:hAnsi="Times New Roman" w:eastAsia="仿宋_GB2312" w:cs="Times New Roman"/>
                <w:b w:val="0"/>
                <w:bCs w:val="0"/>
                <w:sz w:val="20"/>
                <w:szCs w:val="20"/>
                <w:lang w:val="en-US" w:eastAsia="zh-CN"/>
              </w:rPr>
              <w:t>3</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59.3</w:t>
            </w:r>
            <w:r>
              <w:rPr>
                <w:rFonts w:hint="eastAsia" w:ascii="Times New Roman" w:hAnsi="Times New Roman" w:eastAsia="仿宋_GB2312" w:cs="Times New Roman"/>
                <w:b w:val="0"/>
                <w:bCs w:val="0"/>
                <w:sz w:val="20"/>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 xml:space="preserve">   1、公务用车购置和维护经费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56.67</w:t>
            </w: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42.97</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42.97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 xml:space="preserve">       其中：公车购置</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17.98</w:t>
            </w: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　</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 xml:space="preserve">             公车运行维护</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38.69</w:t>
            </w: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42.97</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42.97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 xml:space="preserve">   2、出国经费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 xml:space="preserve">                                                                                                                                                     </w:t>
            </w: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8.56</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 xml:space="preserve">   3、公务接待</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7.78</w:t>
            </w: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7.8</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项目支出：</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1048.26</w:t>
            </w: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773.97</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773.97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 xml:space="preserve">    1、业务工作经费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eastAsia="zh-CN"/>
              </w:rPr>
            </w:pP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 xml:space="preserve">    2、运行维护经费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eastAsia="zh-CN"/>
              </w:rPr>
            </w:pP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3、市级专项资金（一个专项一行）</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1048.26</w:t>
            </w: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773.97</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773.97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工业和信息化工作经费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402.56</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402.56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市工信局2023年信息化改造项目结转资金</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80.96</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80.96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2024年重点项目前期经费经建科划转15万</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8.97</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2023年度财源建设先进单位（工信局10万元）</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7.32</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央企对接现场会相关经费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4.94</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产业链发展专项资金</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8.23</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大唐华银株洲两家电厂固体废物综合利用复核经费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4.8</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市工信局2023年度企业办事不求人等工作部分结余指标</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32.03</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32.03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人才示范培训班工作经费20万</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20</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2024年度企业办事不求人工作经费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23.22</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23.22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拨付2024年中小企业服务体系项目补助资金</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0.61</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2024年度开展供需对接活动经费10万元</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1.93</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全省“智赋万企”推进会资金</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14.7</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2024年重点项目经费经建科划转3.32万</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2.84</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工信系统相关专家核查经费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7.03</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中央无线电管理经费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78.16</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78.16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2024年度制造名城工业企业运行监测和服务平台工作经费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4.86</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安全生产委托技术服务经费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9.55</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第五次经济普查工业企业生产经营状况调查服务经费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8</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2023度产业链领航企业开展培育调研费354000元等部分结余指标</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35.4</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拨付株洲市园区高质量发展专题培训班外出培训费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17.86</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17.86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公用经费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750.34</w:t>
            </w: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711.36</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711.36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 xml:space="preserve">    其中：办公经费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sz w:val="20"/>
                <w:szCs w:val="20"/>
                <w:lang w:val="en-US" w:eastAsia="zh-CN"/>
              </w:rPr>
            </w:pPr>
            <w:r>
              <w:rPr>
                <w:rFonts w:hint="default" w:ascii="Times New Roman" w:hAnsi="Times New Roman" w:eastAsia="仿宋_GB2312" w:cs="Times New Roman"/>
                <w:b w:val="0"/>
                <w:bCs w:val="0"/>
                <w:color w:val="000000"/>
                <w:sz w:val="20"/>
                <w:szCs w:val="20"/>
                <w:lang w:val="en-US" w:eastAsia="zh-CN"/>
              </w:rPr>
              <w:t>43.43</w:t>
            </w: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35.5</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 xml:space="preserve">          水费、电费、差旅费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sz w:val="20"/>
                <w:szCs w:val="20"/>
                <w:lang w:val="en-US" w:eastAsia="zh-CN"/>
              </w:rPr>
            </w:pPr>
            <w:r>
              <w:rPr>
                <w:rFonts w:hint="default" w:ascii="Times New Roman" w:hAnsi="Times New Roman" w:eastAsia="仿宋_GB2312" w:cs="Times New Roman"/>
                <w:b w:val="0"/>
                <w:bCs w:val="0"/>
                <w:color w:val="000000"/>
                <w:sz w:val="20"/>
                <w:szCs w:val="20"/>
                <w:lang w:val="en-US" w:eastAsia="zh-CN"/>
              </w:rPr>
              <w:t>93.84</w:t>
            </w: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93.37</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93.37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 xml:space="preserve">          会议费、培训费</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42.48</w:t>
            </w: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47.97</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47.97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政府采购金额</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w:t>
            </w: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65.36</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lang w:val="en-US" w:eastAsia="zh-CN"/>
              </w:rPr>
              <w:t>65.36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部门基本支出预算调整</w:t>
            </w:r>
          </w:p>
        </w:tc>
        <w:tc>
          <w:tcPr>
            <w:tcW w:w="20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w:t>
            </w:r>
          </w:p>
        </w:tc>
        <w:tc>
          <w:tcPr>
            <w:tcW w:w="224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eastAsia" w:ascii="Times New Roman" w:hAnsi="Times New Roman" w:eastAsia="仿宋_GB2312" w:cs="Times New Roman"/>
                <w:b w:val="0"/>
                <w:bCs w:val="0"/>
                <w:sz w:val="20"/>
                <w:szCs w:val="20"/>
                <w:lang w:val="en-US" w:eastAsia="zh-CN"/>
              </w:rPr>
              <w:t>8.13</w:t>
            </w:r>
          </w:p>
        </w:tc>
        <w:tc>
          <w:tcPr>
            <w:tcW w:w="204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楼堂馆所控制情况</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（2023年完工项目）</w:t>
            </w:r>
          </w:p>
        </w:tc>
        <w:tc>
          <w:tcPr>
            <w:tcW w:w="118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批复规模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w:t>
            </w:r>
            <w:r>
              <w:rPr>
                <w:rFonts w:hint="default" w:ascii="Times New Roman" w:hAnsi="Times New Roman" w:cs="Times New Roman"/>
                <w:b w:val="0"/>
                <w:bCs w:val="0"/>
                <w:sz w:val="20"/>
                <w:szCs w:val="20"/>
              </w:rPr>
              <w:t>㎡</w:t>
            </w:r>
            <w:r>
              <w:rPr>
                <w:rFonts w:hint="default" w:ascii="Times New Roman" w:hAnsi="Times New Roman" w:eastAsia="仿宋_GB2312" w:cs="Times New Roman"/>
                <w:b w:val="0"/>
                <w:bCs w:val="0"/>
                <w:sz w:val="20"/>
                <w:szCs w:val="20"/>
              </w:rPr>
              <w:t>）</w:t>
            </w:r>
          </w:p>
        </w:tc>
        <w:tc>
          <w:tcPr>
            <w:tcW w:w="84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实际规模（</w:t>
            </w:r>
            <w:r>
              <w:rPr>
                <w:rFonts w:hint="default" w:ascii="Times New Roman" w:hAnsi="Times New Roman" w:cs="Times New Roman"/>
                <w:b w:val="0"/>
                <w:bCs w:val="0"/>
                <w:sz w:val="20"/>
                <w:szCs w:val="20"/>
              </w:rPr>
              <w:t>㎡</w:t>
            </w:r>
            <w:r>
              <w:rPr>
                <w:rFonts w:hint="default" w:ascii="Times New Roman" w:hAnsi="Times New Roman" w:eastAsia="仿宋_GB2312" w:cs="Times New Roman"/>
                <w:b w:val="0"/>
                <w:bCs w:val="0"/>
                <w:sz w:val="20"/>
                <w:szCs w:val="20"/>
              </w:rPr>
              <w:t>）</w:t>
            </w:r>
          </w:p>
        </w:tc>
        <w:tc>
          <w:tcPr>
            <w:tcW w:w="112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规模控制率</w:t>
            </w:r>
          </w:p>
        </w:tc>
        <w:tc>
          <w:tcPr>
            <w:tcW w:w="11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预算投资（万元）</w:t>
            </w:r>
          </w:p>
        </w:tc>
        <w:tc>
          <w:tcPr>
            <w:tcW w:w="108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实际投资（万元）</w:t>
            </w:r>
          </w:p>
        </w:tc>
        <w:tc>
          <w:tcPr>
            <w:tcW w:w="9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bCs w:val="0"/>
                <w:sz w:val="20"/>
                <w:szCs w:val="20"/>
              </w:rPr>
            </w:pPr>
          </w:p>
        </w:tc>
        <w:tc>
          <w:tcPr>
            <w:tcW w:w="118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0.00</w:t>
            </w:r>
          </w:p>
        </w:tc>
        <w:tc>
          <w:tcPr>
            <w:tcW w:w="84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0.00</w:t>
            </w:r>
          </w:p>
        </w:tc>
        <w:tc>
          <w:tcPr>
            <w:tcW w:w="112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p>
        </w:tc>
        <w:tc>
          <w:tcPr>
            <w:tcW w:w="11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0.00</w:t>
            </w:r>
          </w:p>
        </w:tc>
        <w:tc>
          <w:tcPr>
            <w:tcW w:w="108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0.00</w:t>
            </w:r>
          </w:p>
        </w:tc>
        <w:tc>
          <w:tcPr>
            <w:tcW w:w="9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厉行节约保障措施</w:t>
            </w:r>
          </w:p>
        </w:tc>
        <w:tc>
          <w:tcPr>
            <w:tcW w:w="6319"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0"/>
                <w:szCs w:val="20"/>
                <w:lang w:eastAsia="zh-CN"/>
              </w:rPr>
            </w:pPr>
            <w:r>
              <w:rPr>
                <w:rFonts w:hint="default" w:ascii="Times New Roman" w:hAnsi="Times New Roman" w:eastAsia="仿宋_GB2312" w:cs="Times New Roman"/>
                <w:b w:val="0"/>
                <w:bCs w:val="0"/>
                <w:sz w:val="20"/>
                <w:szCs w:val="20"/>
              </w:rPr>
              <w:t>坚持量入为出、有保有压、可压尽压</w:t>
            </w:r>
            <w:r>
              <w:rPr>
                <w:rFonts w:hint="default" w:ascii="Times New Roman" w:hAnsi="Times New Roman" w:eastAsia="仿宋_GB2312" w:cs="Times New Roman"/>
                <w:b w:val="0"/>
                <w:bCs w:val="0"/>
                <w:sz w:val="20"/>
                <w:szCs w:val="20"/>
                <w:lang w:eastAsia="zh-CN"/>
              </w:rPr>
              <w:t>。</w:t>
            </w:r>
          </w:p>
        </w:tc>
      </w:tr>
    </w:tbl>
    <w:p>
      <w:pPr>
        <w:widowControl/>
        <w:spacing w:line="400" w:lineRule="exact"/>
        <w:jc w:val="left"/>
        <w:rPr>
          <w:rFonts w:hint="default" w:ascii="Times New Roman" w:hAnsi="Times New Roman" w:eastAsia="仿宋_GB2312" w:cs="Times New Roman"/>
          <w:b w:val="0"/>
          <w:bCs w:val="0"/>
          <w:sz w:val="22"/>
        </w:rPr>
      </w:pPr>
      <w:r>
        <w:rPr>
          <w:rFonts w:hint="default" w:ascii="Times New Roman" w:hAnsi="Times New Roman" w:eastAsia="仿宋_GB2312" w:cs="Times New Roman"/>
          <w:b w:val="0"/>
          <w:bCs w:val="0"/>
          <w:sz w:val="22"/>
        </w:rPr>
        <w:t>说明：“项目支出”需要填报基本支出以外的所有项目支出情况，“公用经费”填报基本支出中的一般商品和服务支出。</w:t>
      </w:r>
    </w:p>
    <w:p>
      <w:pPr>
        <w:tabs>
          <w:tab w:val="left" w:pos="7560"/>
        </w:tabs>
        <w:adjustRightInd w:val="0"/>
        <w:snapToGrid w:val="0"/>
        <w:spacing w:line="560" w:lineRule="exact"/>
        <w:rPr>
          <w:rFonts w:hint="default" w:ascii="Times New Roman" w:hAnsi="Times New Roman" w:eastAsia="仿宋_GB2312" w:cs="Times New Roman"/>
          <w:b w:val="0"/>
          <w:bCs w:val="0"/>
          <w:sz w:val="22"/>
        </w:rPr>
      </w:pPr>
      <w:r>
        <w:rPr>
          <w:rFonts w:hint="default" w:ascii="Times New Roman" w:hAnsi="Times New Roman" w:eastAsia="仿宋_GB2312" w:cs="Times New Roman"/>
          <w:b w:val="0"/>
          <w:bCs w:val="0"/>
          <w:sz w:val="22"/>
        </w:rPr>
        <w:t>填表人：</w:t>
      </w:r>
      <w:r>
        <w:rPr>
          <w:rFonts w:hint="eastAsia" w:ascii="Times New Roman" w:hAnsi="Times New Roman" w:eastAsia="仿宋_GB2312" w:cs="Times New Roman"/>
          <w:b w:val="0"/>
          <w:bCs w:val="0"/>
          <w:sz w:val="22"/>
          <w:lang w:eastAsia="zh-CN"/>
        </w:rPr>
        <w:t>丁鑫禹</w:t>
      </w:r>
      <w:r>
        <w:rPr>
          <w:rFonts w:hint="default" w:ascii="Times New Roman" w:hAnsi="Times New Roman" w:eastAsia="仿宋_GB2312" w:cs="Times New Roman"/>
          <w:b w:val="0"/>
          <w:bCs w:val="0"/>
          <w:sz w:val="22"/>
        </w:rPr>
        <w:t xml:space="preserve">  填报日期：</w:t>
      </w:r>
      <w:r>
        <w:rPr>
          <w:rFonts w:hint="eastAsia" w:ascii="Times New Roman" w:hAnsi="Times New Roman" w:eastAsia="仿宋_GB2312" w:cs="Times New Roman"/>
          <w:b w:val="0"/>
          <w:bCs w:val="0"/>
          <w:sz w:val="22"/>
          <w:lang w:val="en-US" w:eastAsia="zh-CN"/>
        </w:rPr>
        <w:t>2025.5.16</w:t>
      </w:r>
      <w:r>
        <w:rPr>
          <w:rFonts w:hint="default" w:ascii="Times New Roman" w:hAnsi="Times New Roman" w:eastAsia="仿宋_GB2312" w:cs="Times New Roman"/>
          <w:b w:val="0"/>
          <w:bCs w:val="0"/>
          <w:sz w:val="22"/>
        </w:rPr>
        <w:t xml:space="preserve">  联系电话：</w:t>
      </w:r>
      <w:r>
        <w:rPr>
          <w:rFonts w:hint="eastAsia" w:ascii="Times New Roman" w:hAnsi="Times New Roman" w:eastAsia="仿宋_GB2312" w:cs="Times New Roman"/>
          <w:b w:val="0"/>
          <w:bCs w:val="0"/>
          <w:sz w:val="22"/>
          <w:lang w:val="en-US" w:eastAsia="zh-CN"/>
        </w:rPr>
        <w:t>28681018</w:t>
      </w:r>
      <w:r>
        <w:rPr>
          <w:rFonts w:hint="default" w:ascii="Times New Roman" w:hAnsi="Times New Roman" w:eastAsia="仿宋_GB2312" w:cs="Times New Roman"/>
          <w:b w:val="0"/>
          <w:bCs w:val="0"/>
          <w:sz w:val="22"/>
        </w:rPr>
        <w:t xml:space="preserve">  单位负责人签字：</w:t>
      </w:r>
    </w:p>
    <w:p>
      <w:pPr>
        <w:rPr>
          <w:rFonts w:hint="default" w:ascii="Times New Roman" w:hAnsi="Times New Roman" w:eastAsia="仿宋_GB2312" w:cs="Times New Roman"/>
          <w:b w:val="0"/>
          <w:bCs w:val="0"/>
          <w:sz w:val="22"/>
        </w:rPr>
      </w:pPr>
      <w:r>
        <w:rPr>
          <w:rFonts w:hint="default" w:ascii="Times New Roman" w:hAnsi="Times New Roman" w:eastAsia="仿宋_GB2312" w:cs="Times New Roman"/>
          <w:b w:val="0"/>
          <w:bCs w:val="0"/>
          <w:sz w:val="22"/>
        </w:rPr>
        <w:br w:type="page"/>
      </w:r>
    </w:p>
    <w:p>
      <w:pPr>
        <w:widowControl/>
        <w:spacing w:line="400" w:lineRule="exact"/>
        <w:jc w:val="lef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2</w:t>
      </w:r>
    </w:p>
    <w:p>
      <w:pPr>
        <w:widowControl/>
        <w:spacing w:after="120" w:afterLines="5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default" w:ascii="Times New Roman" w:hAnsi="Times New Roman" w:eastAsia="方正小标宋简体" w:cs="Times New Roman"/>
          <w:color w:val="000000"/>
          <w:sz w:val="44"/>
          <w:szCs w:val="44"/>
        </w:rPr>
        <w:t>年度部门（单位）整体支出绩效自评表</w:t>
      </w:r>
    </w:p>
    <w:tbl>
      <w:tblPr>
        <w:tblStyle w:val="22"/>
        <w:tblW w:w="10079" w:type="dxa"/>
        <w:jc w:val="center"/>
        <w:tblLayout w:type="fixed"/>
        <w:tblCellMar>
          <w:top w:w="0" w:type="dxa"/>
          <w:left w:w="108" w:type="dxa"/>
          <w:bottom w:w="0" w:type="dxa"/>
          <w:right w:w="108" w:type="dxa"/>
        </w:tblCellMar>
      </w:tblPr>
      <w:tblGrid>
        <w:gridCol w:w="1080"/>
        <w:gridCol w:w="1080"/>
        <w:gridCol w:w="1034"/>
        <w:gridCol w:w="1349"/>
        <w:gridCol w:w="1232"/>
        <w:gridCol w:w="1269"/>
        <w:gridCol w:w="716"/>
        <w:gridCol w:w="674"/>
        <w:gridCol w:w="1645"/>
      </w:tblGrid>
      <w:tr>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市级预算部门（单位）名称</w:t>
            </w:r>
          </w:p>
        </w:tc>
        <w:tc>
          <w:tcPr>
            <w:tcW w:w="688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株洲市工业和信息化局</w:t>
            </w:r>
          </w:p>
        </w:tc>
      </w:tr>
      <w:tr>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算申请</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p>
        </w:tc>
        <w:tc>
          <w:tcPr>
            <w:tcW w:w="134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232"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674"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645"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34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2551.6</w:t>
            </w:r>
          </w:p>
        </w:tc>
        <w:tc>
          <w:tcPr>
            <w:tcW w:w="1232"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2922.7</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2922.7</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w:t>
            </w:r>
          </w:p>
        </w:tc>
        <w:tc>
          <w:tcPr>
            <w:tcW w:w="674"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100%</w:t>
            </w:r>
          </w:p>
        </w:tc>
        <w:tc>
          <w:tcPr>
            <w:tcW w:w="1645"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100%</w:t>
            </w:r>
          </w:p>
        </w:tc>
      </w:tr>
      <w:tr>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按支出性质分：</w:t>
            </w:r>
          </w:p>
        </w:tc>
      </w:tr>
      <w:tr>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  其中：  一般公共预算：</w:t>
            </w:r>
            <w:r>
              <w:rPr>
                <w:rFonts w:hint="default" w:ascii="Times New Roman" w:hAnsi="Times New Roman" w:eastAsia="仿宋_GB2312" w:cs="Times New Roman"/>
                <w:color w:val="000000"/>
                <w:sz w:val="20"/>
                <w:szCs w:val="20"/>
                <w:lang w:val="en-US" w:eastAsia="zh-CN"/>
              </w:rPr>
              <w:t>2917.75</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其中：基本支出：</w:t>
            </w:r>
            <w:r>
              <w:rPr>
                <w:rFonts w:hint="default" w:ascii="Times New Roman" w:hAnsi="Times New Roman" w:eastAsia="仿宋_GB2312" w:cs="Times New Roman"/>
                <w:color w:val="000000"/>
                <w:sz w:val="20"/>
                <w:szCs w:val="20"/>
                <w:lang w:val="en-US" w:eastAsia="zh-CN"/>
              </w:rPr>
              <w:t>2148.7</w:t>
            </w:r>
            <w:r>
              <w:rPr>
                <w:rFonts w:hint="eastAsia" w:ascii="Times New Roman" w:hAnsi="Times New Roman" w:eastAsia="仿宋_GB2312" w:cs="Times New Roman"/>
                <w:color w:val="000000"/>
                <w:sz w:val="20"/>
                <w:szCs w:val="20"/>
                <w:lang w:val="en-US" w:eastAsia="zh-CN"/>
              </w:rPr>
              <w:t>2</w:t>
            </w:r>
          </w:p>
        </w:tc>
      </w:tr>
      <w:tr>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项目支出：</w:t>
            </w:r>
            <w:r>
              <w:rPr>
                <w:rFonts w:hint="default" w:ascii="Times New Roman" w:hAnsi="Times New Roman" w:eastAsia="仿宋_GB2312" w:cs="Times New Roman"/>
                <w:color w:val="000000"/>
                <w:sz w:val="20"/>
                <w:szCs w:val="20"/>
                <w:lang w:val="en-US" w:eastAsia="zh-CN"/>
              </w:rPr>
              <w:t>773.97</w:t>
            </w:r>
          </w:p>
        </w:tc>
      </w:tr>
      <w:tr>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其他资金：</w:t>
            </w:r>
            <w:r>
              <w:rPr>
                <w:rFonts w:hint="default" w:ascii="Times New Roman" w:hAnsi="Times New Roman" w:eastAsia="仿宋_GB2312" w:cs="Times New Roman"/>
                <w:color w:val="000000"/>
                <w:sz w:val="20"/>
                <w:szCs w:val="20"/>
                <w:lang w:val="en-US" w:eastAsia="zh-CN"/>
              </w:rPr>
              <w:t>4.94</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坚持“聚焦、裂变、创新、升级、品牌”工作思路，结合实施</w:t>
            </w:r>
            <w:r>
              <w:rPr>
                <w:rFonts w:hint="default" w:ascii="Times New Roman" w:hAnsi="Times New Roman" w:eastAsia="仿宋_GB2312" w:cs="Times New Roman"/>
                <w:color w:val="000000"/>
                <w:sz w:val="20"/>
                <w:szCs w:val="20"/>
                <w:rtl w:val="0"/>
                <w:lang w:val="en-US" w:eastAsia="zh-CN"/>
              </w:rPr>
              <w:t>重大项目攻坚、创新成果转化“两个年”活动和“八大行动”，</w:t>
            </w:r>
            <w:r>
              <w:rPr>
                <w:rFonts w:hint="default" w:ascii="Times New Roman" w:hAnsi="Times New Roman" w:eastAsia="仿宋_GB2312" w:cs="Times New Roman"/>
                <w:color w:val="000000"/>
                <w:sz w:val="20"/>
                <w:szCs w:val="20"/>
                <w:lang w:val="en-US" w:eastAsia="zh-CN"/>
              </w:rPr>
              <w:t>坚持</w:t>
            </w:r>
            <w:r>
              <w:rPr>
                <w:rFonts w:hint="default" w:ascii="Times New Roman" w:hAnsi="Times New Roman" w:eastAsia="仿宋_GB2312" w:cs="Times New Roman"/>
                <w:color w:val="000000"/>
                <w:sz w:val="20"/>
                <w:szCs w:val="20"/>
                <w:rtl w:val="0"/>
                <w:lang w:val="en-US" w:eastAsia="zh-CN"/>
              </w:rPr>
              <w:t>高举新型工业化这面大旗，紧盯园区、项目“两大抓手”，推进实施技改、数改、绿改“三大重点”，落实技改提质、科创平台、数实融合、企业裂变、示范创建“五张项目清单”</w:t>
            </w:r>
            <w:r>
              <w:rPr>
                <w:rFonts w:hint="default" w:ascii="Times New Roman" w:hAnsi="Times New Roman" w:eastAsia="仿宋_GB2312" w:cs="Times New Roman"/>
                <w:color w:val="000000"/>
                <w:sz w:val="20"/>
                <w:szCs w:val="20"/>
                <w:lang w:val="en-US" w:eastAsia="zh-CN"/>
              </w:rPr>
              <w:t>，优化升级“3+3+2”现代化产业体系，加快推动工业高质量发展</w:t>
            </w:r>
            <w:r>
              <w:rPr>
                <w:rFonts w:hint="eastAsia" w:ascii="Times New Roman" w:hAnsi="Times New Roman" w:eastAsia="仿宋_GB2312" w:cs="Times New Roman"/>
                <w:color w:val="000000"/>
                <w:sz w:val="20"/>
                <w:szCs w:val="20"/>
                <w:lang w:val="en-US" w:eastAsia="zh-CN"/>
              </w:rPr>
              <w:t>。</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zh-CN" w:eastAsia="zh-CN"/>
              </w:rPr>
              <w:t>大力推进</w:t>
            </w:r>
            <w:r>
              <w:rPr>
                <w:rFonts w:hint="default" w:ascii="Times New Roman" w:hAnsi="Times New Roman" w:eastAsia="仿宋_GB2312" w:cs="Times New Roman"/>
                <w:color w:val="000000"/>
                <w:sz w:val="20"/>
                <w:szCs w:val="20"/>
                <w:rtl w:val="0"/>
                <w:lang w:val="zh-CN" w:eastAsia="zh-CN"/>
              </w:rPr>
              <w:t>新型工业化，突出抓好</w:t>
            </w:r>
            <w:r>
              <w:rPr>
                <w:rFonts w:hint="default" w:ascii="Times New Roman" w:hAnsi="Times New Roman" w:eastAsia="仿宋_GB2312" w:cs="Times New Roman"/>
                <w:color w:val="000000"/>
                <w:sz w:val="20"/>
                <w:szCs w:val="20"/>
                <w:rtl w:val="0"/>
                <w:lang w:val="en-US" w:eastAsia="zh-CN"/>
              </w:rPr>
              <w:t>三大标志性工程</w:t>
            </w:r>
            <w:r>
              <w:rPr>
                <w:rFonts w:hint="default" w:ascii="Times New Roman" w:hAnsi="Times New Roman" w:eastAsia="仿宋_GB2312" w:cs="Times New Roman"/>
                <w:color w:val="000000"/>
                <w:sz w:val="20"/>
                <w:szCs w:val="20"/>
                <w:rtl w:val="0"/>
                <w:lang w:val="zh-CN" w:eastAsia="zh-CN"/>
              </w:rPr>
              <w:t>，深入</w:t>
            </w:r>
            <w:r>
              <w:rPr>
                <w:rFonts w:hint="default" w:ascii="Times New Roman" w:hAnsi="Times New Roman" w:eastAsia="仿宋_GB2312" w:cs="Times New Roman"/>
                <w:color w:val="000000"/>
                <w:sz w:val="20"/>
                <w:szCs w:val="20"/>
                <w:lang w:val="zh-CN" w:eastAsia="zh-CN"/>
              </w:rPr>
              <w:t>开展</w:t>
            </w:r>
            <w:r>
              <w:rPr>
                <w:rFonts w:hint="default" w:ascii="Times New Roman" w:hAnsi="Times New Roman" w:eastAsia="仿宋_GB2312" w:cs="Times New Roman"/>
                <w:color w:val="000000"/>
                <w:sz w:val="20"/>
                <w:szCs w:val="20"/>
                <w:rtl w:val="0"/>
                <w:lang w:val="zh-CN" w:eastAsia="zh-CN"/>
              </w:rPr>
              <w:t>“重大项目攻坚年”、“创新成果转化年”活动</w:t>
            </w:r>
            <w:r>
              <w:rPr>
                <w:rFonts w:hint="default" w:ascii="Times New Roman" w:hAnsi="Times New Roman" w:eastAsia="仿宋_GB2312" w:cs="Times New Roman"/>
                <w:color w:val="000000"/>
                <w:sz w:val="20"/>
                <w:szCs w:val="20"/>
                <w:rtl w:val="0"/>
                <w:lang w:val="en-US" w:eastAsia="zh-CN"/>
              </w:rPr>
              <w:t>，年度目标任务圆满完成，规模工业增速（10.4%）、制造业占比、工业占比均居全省第一，市本级入围全省“打造国家重要先进制造业高地”、“产业培塑行动”大抓落实激励对象，全国先进制造业城市百强排名升至第37位，培育制造名城、打造国家重要先进制造业高地实现了新发展、开创了新气象。</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pPr>
              <w:widowControl/>
              <w:spacing w:line="240" w:lineRule="exact"/>
              <w:jc w:val="center"/>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40分</w:t>
            </w:r>
            <w:r>
              <w:rPr>
                <w:rFonts w:hint="eastAsia" w:ascii="Times New Roman" w:hAnsi="Times New Roman" w:eastAsia="仿宋_GB2312" w:cs="Times New Roman"/>
                <w:color w:val="000000"/>
                <w:sz w:val="20"/>
                <w:szCs w:val="20"/>
                <w:lang w:eastAsia="zh-CN"/>
              </w:rPr>
              <w:t>）</w:t>
            </w: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新增省级“小巨人”企业数</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黑体" w:cs="Times New Roman"/>
                <w:sz w:val="20"/>
                <w:szCs w:val="20"/>
              </w:rPr>
              <w:t>≥</w:t>
            </w:r>
            <w:r>
              <w:rPr>
                <w:rFonts w:hint="default" w:ascii="Times New Roman" w:hAnsi="Times New Roman" w:eastAsia="黑体" w:cs="Times New Roman"/>
                <w:spacing w:val="-2"/>
                <w:sz w:val="20"/>
                <w:szCs w:val="20"/>
              </w:rPr>
              <w:t>40</w:t>
            </w:r>
            <w:r>
              <w:rPr>
                <w:rFonts w:hint="eastAsia" w:ascii="仿宋_GB2312" w:hAnsi="仿宋_GB2312" w:eastAsia="仿宋_GB2312" w:cs="仿宋_GB2312"/>
                <w:sz w:val="20"/>
                <w:szCs w:val="20"/>
              </w:rPr>
              <w:t>家</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116家</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autoSpaceDE/>
              <w:autoSpaceDN/>
              <w:bidi w:val="0"/>
              <w:adjustRightInd w:val="0"/>
              <w:snapToGrid w:val="0"/>
              <w:spacing w:line="200" w:lineRule="exact"/>
              <w:ind w:left="0" w:leftChars="0" w:right="0" w:rightChars="0"/>
              <w:jc w:val="center"/>
              <w:textAlignment w:val="baseline"/>
              <w:rPr>
                <w:rFonts w:hint="eastAsia" w:ascii="Times New Roman" w:hAnsi="Times New Roman" w:eastAsia="仿宋_GB2312" w:cs="Times New Roman"/>
                <w:color w:val="000000"/>
                <w:sz w:val="20"/>
                <w:szCs w:val="20"/>
                <w:lang w:eastAsia="zh-CN"/>
              </w:rPr>
            </w:pPr>
            <w:r>
              <w:rPr>
                <w:rFonts w:hint="eastAsia" w:ascii="Times New Roman" w:hAnsi="Times New Roman" w:eastAsia="黑体" w:cs="Times New Roman"/>
                <w:sz w:val="20"/>
                <w:szCs w:val="20"/>
                <w:lang w:val="en-US" w:eastAsia="zh-CN"/>
              </w:rPr>
              <w:t>4</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95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新增国家级“小巨人”企业数</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15</w:t>
            </w:r>
            <w:r>
              <w:rPr>
                <w:rFonts w:hint="default" w:ascii="Times New Roman" w:hAnsi="Times New Roman" w:eastAsia="仿宋_GB2312" w:cs="Times New Roman"/>
                <w:color w:val="000000"/>
                <w:sz w:val="20"/>
                <w:szCs w:val="20"/>
              </w:rPr>
              <w:t>家</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7家</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autoSpaceDE/>
              <w:autoSpaceDN/>
              <w:bidi w:val="0"/>
              <w:adjustRightInd w:val="0"/>
              <w:snapToGrid w:val="0"/>
              <w:spacing w:line="200" w:lineRule="exact"/>
              <w:ind w:left="0" w:leftChars="0" w:right="0" w:rightChars="0"/>
              <w:jc w:val="center"/>
              <w:textAlignment w:val="baseline"/>
              <w:rPr>
                <w:rFonts w:hint="eastAsia" w:ascii="Times New Roman" w:hAnsi="Times New Roman" w:eastAsia="仿宋_GB2312" w:cs="Times New Roman"/>
                <w:color w:val="000000"/>
                <w:sz w:val="20"/>
                <w:szCs w:val="20"/>
                <w:lang w:eastAsia="zh-CN"/>
              </w:rPr>
            </w:pPr>
            <w:r>
              <w:rPr>
                <w:rFonts w:hint="eastAsia" w:ascii="Times New Roman" w:hAnsi="Times New Roman" w:eastAsia="黑体" w:cs="Times New Roman"/>
                <w:sz w:val="20"/>
                <w:szCs w:val="20"/>
                <w:lang w:val="en-US" w:eastAsia="zh-CN"/>
              </w:rPr>
              <w:t>4</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因国家政策调整收紧，全省2024年国家级专精特新“小巨人”企业获评数整体出现断崖式下滑（2023年新增116家，2024年仅新增64家），</w:t>
            </w:r>
            <w:r>
              <w:rPr>
                <w:rFonts w:hint="eastAsia" w:ascii="Times New Roman" w:hAnsi="Times New Roman" w:eastAsia="仿宋_GB2312" w:cs="Times New Roman"/>
                <w:color w:val="000000"/>
                <w:sz w:val="20"/>
                <w:szCs w:val="20"/>
                <w:lang w:val="en-US" w:eastAsia="zh-CN"/>
              </w:rPr>
              <w:t>虽</w:t>
            </w:r>
            <w:r>
              <w:rPr>
                <w:rFonts w:hint="default" w:ascii="Times New Roman" w:hAnsi="Times New Roman" w:eastAsia="仿宋_GB2312" w:cs="Times New Roman"/>
                <w:color w:val="000000"/>
                <w:sz w:val="20"/>
                <w:szCs w:val="20"/>
                <w:lang w:val="en-US" w:eastAsia="zh-CN"/>
              </w:rPr>
              <w:t>受此影响，株洲新增7家的数量仍在十四个市州中稳居全省第二</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全省8个A类地市中排名第二</w:t>
            </w:r>
            <w:r>
              <w:rPr>
                <w:rFonts w:hint="eastAsia" w:ascii="Times New Roman" w:hAnsi="Times New Roman" w:eastAsia="仿宋_GB2312" w:cs="Times New Roman"/>
                <w:color w:val="000000"/>
                <w:sz w:val="20"/>
                <w:szCs w:val="20"/>
                <w:lang w:val="en-US" w:eastAsia="zh-CN"/>
              </w:rPr>
              <w:t>。</w:t>
            </w:r>
          </w:p>
        </w:tc>
      </w:tr>
      <w:tr>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规模工业增长率</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7%</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10.4%</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技改投资增长率</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3.6%</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2024年我市工业投资增长10.2%，技改投资增长3.6%，排全省一类市州第四，获2024年省政府大抓落实工作激励表彰（产业培塑行动方向），2025年1-4月，我市技改投资增长11.7%，排全省一类市州第三。因2024年技改基数较大（技改投资占工业投资比重52.8%），增速不及5%预期。下一步，我局将紧扣国省大规模设备更新等利好政策，支持工业企业高端化、绿色化、智能化发展，推动一批技改项目加快建设。</w:t>
            </w:r>
          </w:p>
        </w:tc>
      </w:tr>
      <w:tr>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园区规模工业增加值增速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8%</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10.8</w:t>
            </w:r>
            <w:r>
              <w:rPr>
                <w:rFonts w:hint="default" w:ascii="Times New Roman" w:hAnsi="Times New Roman" w:eastAsia="仿宋_GB2312" w:cs="Times New Roman"/>
                <w:color w:val="000000"/>
                <w:sz w:val="20"/>
                <w:szCs w:val="20"/>
                <w:lang w:val="en-US"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autoSpaceDE/>
              <w:autoSpaceDN/>
              <w:bidi w:val="0"/>
              <w:adjustRightInd w:val="0"/>
              <w:snapToGrid w:val="0"/>
              <w:spacing w:line="200" w:lineRule="exact"/>
              <w:ind w:left="0" w:leftChars="0" w:right="0" w:rightChars="0"/>
              <w:jc w:val="center"/>
              <w:textAlignment w:val="baseline"/>
              <w:rPr>
                <w:rFonts w:hint="eastAsia" w:ascii="Times New Roman" w:hAnsi="Times New Roman" w:eastAsia="黑体" w:cs="Times New Roman"/>
                <w:kern w:val="2"/>
                <w:sz w:val="20"/>
                <w:szCs w:val="20"/>
                <w:lang w:val="en-US" w:eastAsia="zh-CN" w:bidi="ar-SA"/>
              </w:rPr>
            </w:pPr>
            <w:r>
              <w:rPr>
                <w:rFonts w:hint="eastAsia" w:ascii="Times New Roman" w:hAnsi="Times New Roman" w:eastAsia="黑体" w:cs="Times New Roman"/>
                <w:sz w:val="20"/>
                <w:szCs w:val="20"/>
                <w:lang w:val="en-US" w:eastAsia="zh-CN"/>
              </w:rPr>
              <w:t>4</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新增省级及以上创新平台</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10家</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29家</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autoSpaceDE/>
              <w:autoSpaceDN/>
              <w:bidi w:val="0"/>
              <w:adjustRightInd w:val="0"/>
              <w:snapToGrid w:val="0"/>
              <w:spacing w:line="200" w:lineRule="exact"/>
              <w:ind w:left="0" w:leftChars="0" w:right="0" w:rightChars="0"/>
              <w:jc w:val="center"/>
              <w:textAlignment w:val="baseline"/>
              <w:rPr>
                <w:rFonts w:hint="eastAsia" w:ascii="Times New Roman" w:hAnsi="Times New Roman" w:eastAsia="黑体" w:cs="Times New Roman"/>
                <w:kern w:val="2"/>
                <w:sz w:val="20"/>
                <w:szCs w:val="20"/>
                <w:lang w:val="en-US" w:eastAsia="zh-CN" w:bidi="ar-SA"/>
              </w:rPr>
            </w:pPr>
            <w:r>
              <w:rPr>
                <w:rFonts w:hint="eastAsia" w:ascii="Times New Roman" w:hAnsi="Times New Roman" w:eastAsia="黑体" w:cs="Times New Roman"/>
                <w:sz w:val="20"/>
                <w:szCs w:val="20"/>
                <w:lang w:val="en-US" w:eastAsia="zh-CN"/>
              </w:rPr>
              <w:t>4</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制造业增加值占GDP比重</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32%</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37.4</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autoSpaceDE/>
              <w:autoSpaceDN/>
              <w:bidi w:val="0"/>
              <w:adjustRightInd w:val="0"/>
              <w:snapToGrid w:val="0"/>
              <w:spacing w:line="200" w:lineRule="exact"/>
              <w:ind w:left="0" w:leftChars="0" w:right="0" w:rightChars="0"/>
              <w:jc w:val="center"/>
              <w:textAlignment w:val="baseline"/>
              <w:rPr>
                <w:rFonts w:hint="eastAsia" w:ascii="Times New Roman" w:hAnsi="Times New Roman" w:eastAsia="黑体" w:cs="Times New Roman"/>
                <w:kern w:val="2"/>
                <w:sz w:val="20"/>
                <w:szCs w:val="20"/>
                <w:lang w:val="en-US" w:eastAsia="zh-CN" w:bidi="ar-SA"/>
              </w:rPr>
            </w:pPr>
            <w:r>
              <w:rPr>
                <w:rFonts w:hint="eastAsia" w:ascii="Times New Roman" w:hAnsi="Times New Roman" w:eastAsia="黑体" w:cs="Times New Roman"/>
                <w:sz w:val="20"/>
                <w:szCs w:val="20"/>
                <w:lang w:val="en-US" w:eastAsia="zh-CN"/>
              </w:rPr>
              <w:t>6</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按财政要求及时拨付资金</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autoSpaceDE/>
              <w:autoSpaceDN/>
              <w:bidi w:val="0"/>
              <w:adjustRightInd w:val="0"/>
              <w:snapToGrid w:val="0"/>
              <w:spacing w:line="200" w:lineRule="exact"/>
              <w:ind w:left="0" w:leftChars="0" w:right="0" w:rightChars="0"/>
              <w:jc w:val="center"/>
              <w:textAlignment w:val="baseline"/>
              <w:rPr>
                <w:rFonts w:hint="default" w:ascii="Times New Roman" w:hAnsi="Times New Roman" w:eastAsia="黑体" w:cs="Times New Roman"/>
                <w:kern w:val="2"/>
                <w:sz w:val="20"/>
                <w:szCs w:val="20"/>
                <w:lang w:val="en-US" w:eastAsia="en-US" w:bidi="ar-SA"/>
              </w:rPr>
            </w:pPr>
            <w:r>
              <w:rPr>
                <w:rFonts w:hint="default" w:ascii="Times New Roman" w:hAnsi="Times New Roman" w:eastAsia="黑体" w:cs="Times New Roman"/>
                <w:sz w:val="20"/>
                <w:szCs w:val="20"/>
              </w:rPr>
              <w:t>4</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按财政要求做好部门预决算公开工作</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按要求及时公开</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及时</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autoSpaceDE/>
              <w:autoSpaceDN/>
              <w:bidi w:val="0"/>
              <w:adjustRightInd w:val="0"/>
              <w:snapToGrid w:val="0"/>
              <w:spacing w:line="200" w:lineRule="exact"/>
              <w:ind w:left="0" w:leftChars="0" w:right="0" w:rightChars="0"/>
              <w:jc w:val="center"/>
              <w:textAlignment w:val="baseline"/>
              <w:rPr>
                <w:rFonts w:hint="default" w:ascii="Times New Roman" w:hAnsi="Times New Roman" w:eastAsia="黑体" w:cs="Times New Roman"/>
                <w:kern w:val="2"/>
                <w:sz w:val="20"/>
                <w:szCs w:val="20"/>
                <w:lang w:val="en-US" w:eastAsia="en-US" w:bidi="ar-SA"/>
              </w:rPr>
            </w:pPr>
            <w:r>
              <w:rPr>
                <w:rFonts w:hint="default" w:ascii="Times New Roman" w:hAnsi="Times New Roman" w:eastAsia="黑体" w:cs="Times New Roman"/>
                <w:sz w:val="20"/>
                <w:szCs w:val="20"/>
              </w:rPr>
              <w:t>6</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（20分）</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园区规模工业增加值占全市比重</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75%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lang w:val="en-US" w:eastAsia="zh-CN"/>
              </w:rPr>
              <w:t>78.2%</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autoSpaceDE/>
              <w:autoSpaceDN/>
              <w:bidi w:val="0"/>
              <w:adjustRightInd w:val="0"/>
              <w:snapToGrid w:val="0"/>
              <w:spacing w:line="200" w:lineRule="exact"/>
              <w:ind w:left="0" w:leftChars="0" w:right="0" w:rightChars="0"/>
              <w:jc w:val="center"/>
              <w:textAlignment w:val="baseline"/>
              <w:rPr>
                <w:rFonts w:hint="eastAsia" w:ascii="Times New Roman" w:hAnsi="Times New Roman" w:eastAsia="黑体" w:cs="Times New Roman"/>
                <w:kern w:val="2"/>
                <w:sz w:val="20"/>
                <w:szCs w:val="20"/>
                <w:lang w:val="en-US" w:eastAsia="zh-CN" w:bidi="ar-SA"/>
              </w:rPr>
            </w:pPr>
            <w:r>
              <w:rPr>
                <w:rFonts w:hint="eastAsia" w:ascii="Times New Roman" w:hAnsi="Times New Roman" w:eastAsia="黑体" w:cs="Times New Roman"/>
                <w:sz w:val="20"/>
                <w:szCs w:val="20"/>
                <w:lang w:val="en-US" w:eastAsia="zh-CN"/>
              </w:rPr>
              <w:t>5</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有序推进五好园区创建</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有序推进</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有序推进</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autoSpaceDE/>
              <w:autoSpaceDN/>
              <w:bidi w:val="0"/>
              <w:adjustRightInd w:val="0"/>
              <w:snapToGrid w:val="0"/>
              <w:spacing w:line="200" w:lineRule="exact"/>
              <w:ind w:left="0" w:leftChars="0" w:right="0" w:rightChars="0"/>
              <w:jc w:val="center"/>
              <w:textAlignment w:val="baseline"/>
              <w:rPr>
                <w:rFonts w:hint="eastAsia" w:ascii="Times New Roman" w:hAnsi="Times New Roman" w:eastAsia="黑体" w:cs="Times New Roman"/>
                <w:kern w:val="2"/>
                <w:sz w:val="20"/>
                <w:szCs w:val="20"/>
                <w:lang w:val="en-US" w:eastAsia="zh-CN" w:bidi="ar-SA"/>
              </w:rPr>
            </w:pPr>
            <w:r>
              <w:rPr>
                <w:rFonts w:hint="eastAsia" w:ascii="Times New Roman" w:hAnsi="Times New Roman" w:eastAsia="黑体" w:cs="Times New Roman"/>
                <w:sz w:val="20"/>
                <w:szCs w:val="20"/>
                <w:lang w:val="en-US" w:eastAsia="zh-CN"/>
              </w:rPr>
              <w:t>5</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企业培育成效明显</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成效</w:t>
            </w:r>
            <w:r>
              <w:rPr>
                <w:rFonts w:hint="default" w:ascii="Times New Roman" w:hAnsi="Times New Roman" w:eastAsia="仿宋_GB2312" w:cs="Times New Roman"/>
                <w:color w:val="000000"/>
                <w:sz w:val="20"/>
                <w:szCs w:val="20"/>
              </w:rPr>
              <w:t>明显</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成效</w:t>
            </w:r>
            <w:r>
              <w:rPr>
                <w:rFonts w:hint="default" w:ascii="Times New Roman" w:hAnsi="Times New Roman" w:eastAsia="仿宋_GB2312" w:cs="Times New Roman"/>
                <w:color w:val="000000"/>
                <w:sz w:val="20"/>
                <w:szCs w:val="20"/>
              </w:rPr>
              <w:t>明显</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autoSpaceDE/>
              <w:autoSpaceDN/>
              <w:bidi w:val="0"/>
              <w:adjustRightInd w:val="0"/>
              <w:snapToGrid w:val="0"/>
              <w:spacing w:line="200" w:lineRule="exact"/>
              <w:ind w:left="0" w:leftChars="0" w:right="0" w:rightChars="0"/>
              <w:jc w:val="center"/>
              <w:textAlignment w:val="baseline"/>
              <w:rPr>
                <w:rFonts w:hint="eastAsia" w:ascii="Times New Roman" w:hAnsi="Times New Roman" w:eastAsia="黑体" w:cs="Times New Roman"/>
                <w:kern w:val="2"/>
                <w:sz w:val="20"/>
                <w:szCs w:val="20"/>
                <w:lang w:val="en-US" w:eastAsia="zh-CN" w:bidi="ar-SA"/>
              </w:rPr>
            </w:pPr>
            <w:r>
              <w:rPr>
                <w:rFonts w:hint="eastAsia" w:ascii="Times New Roman" w:hAnsi="Times New Roman" w:eastAsia="黑体" w:cs="Times New Roman"/>
                <w:sz w:val="20"/>
                <w:szCs w:val="20"/>
                <w:lang w:val="en-US" w:eastAsia="zh-CN"/>
              </w:rPr>
              <w:t>5</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autoSpaceDE/>
              <w:autoSpaceDN/>
              <w:bidi w:val="0"/>
              <w:adjustRightInd w:val="0"/>
              <w:snapToGrid w:val="0"/>
              <w:spacing w:line="200" w:lineRule="exact"/>
              <w:ind w:left="0" w:leftChars="0" w:right="0" w:rightChars="0"/>
              <w:jc w:val="center"/>
              <w:textAlignment w:val="baseline"/>
              <w:rPr>
                <w:rFonts w:hint="default" w:ascii="Times New Roman" w:hAnsi="Times New Roman" w:eastAsia="黑体" w:cs="Times New Roman"/>
                <w:kern w:val="2"/>
                <w:sz w:val="20"/>
                <w:szCs w:val="20"/>
                <w:lang w:val="en-US" w:eastAsia="en-US" w:bidi="ar-SA"/>
              </w:rPr>
            </w:pPr>
            <w:r>
              <w:rPr>
                <w:rFonts w:hint="default" w:ascii="Times New Roman" w:hAnsi="Times New Roman" w:eastAsia="黑体" w:cs="Times New Roman"/>
                <w:sz w:val="20"/>
                <w:szCs w:val="20"/>
              </w:rPr>
              <w:t>/</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持续优化产业生态环境</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持续优化</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持续优化</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autoSpaceDE/>
              <w:autoSpaceDN/>
              <w:bidi w:val="0"/>
              <w:adjustRightInd w:val="0"/>
              <w:snapToGrid w:val="0"/>
              <w:spacing w:line="200" w:lineRule="exact"/>
              <w:ind w:left="0" w:leftChars="0" w:right="0" w:rightChars="0"/>
              <w:jc w:val="center"/>
              <w:textAlignment w:val="baseline"/>
              <w:rPr>
                <w:rFonts w:hint="eastAsia" w:ascii="Times New Roman" w:hAnsi="Times New Roman" w:eastAsia="黑体" w:cs="Times New Roman"/>
                <w:kern w:val="2"/>
                <w:sz w:val="20"/>
                <w:szCs w:val="20"/>
                <w:lang w:val="en-US" w:eastAsia="zh-CN" w:bidi="ar-SA"/>
              </w:rPr>
            </w:pPr>
            <w:r>
              <w:rPr>
                <w:rFonts w:hint="eastAsia" w:ascii="Times New Roman" w:hAnsi="Times New Roman" w:eastAsia="黑体" w:cs="Times New Roman"/>
                <w:sz w:val="20"/>
                <w:szCs w:val="20"/>
                <w:lang w:val="en-US" w:eastAsia="zh-CN"/>
              </w:rPr>
              <w:t>5</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群众对我部门工作的满意程度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90%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94.99%</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autoSpaceDE/>
              <w:autoSpaceDN/>
              <w:bidi w:val="0"/>
              <w:adjustRightInd w:val="0"/>
              <w:snapToGrid w:val="0"/>
              <w:spacing w:line="200" w:lineRule="exact"/>
              <w:ind w:left="0" w:leftChars="0" w:right="0" w:rightChars="0"/>
              <w:jc w:val="center"/>
              <w:textAlignment w:val="baseline"/>
              <w:rPr>
                <w:rFonts w:hint="default" w:ascii="Times New Roman" w:hAnsi="Times New Roman" w:eastAsia="黑体" w:cs="Times New Roman"/>
                <w:kern w:val="2"/>
                <w:sz w:val="20"/>
                <w:szCs w:val="20"/>
                <w:lang w:val="en-US" w:eastAsia="zh-CN" w:bidi="ar-SA"/>
              </w:rPr>
            </w:pPr>
            <w:r>
              <w:rPr>
                <w:rFonts w:hint="eastAsia" w:ascii="Times New Roman" w:hAnsi="Times New Roman" w:eastAsia="黑体" w:cs="Times New Roman"/>
                <w:sz w:val="20"/>
                <w:szCs w:val="20"/>
                <w:lang w:val="en-US" w:eastAsia="zh-CN"/>
              </w:rPr>
              <w:t>10</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111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机关内人员成本</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不包含公用经费支</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出，只计算人员类支出</w:t>
            </w:r>
            <w:r>
              <w:rPr>
                <w:rFonts w:hint="default" w:ascii="Times New Roman" w:hAnsi="Times New Roman" w:eastAsia="仿宋_GB2312" w:cs="Times New Roman"/>
                <w:color w:val="000000"/>
                <w:sz w:val="20"/>
                <w:szCs w:val="20"/>
                <w:lang w:eastAsia="zh-CN"/>
              </w:rPr>
              <w:t>）</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1950万元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1802.96</w:t>
            </w:r>
          </w:p>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autoSpaceDE/>
              <w:autoSpaceDN/>
              <w:bidi w:val="0"/>
              <w:adjustRightInd w:val="0"/>
              <w:snapToGrid w:val="0"/>
              <w:spacing w:line="200" w:lineRule="exact"/>
              <w:ind w:left="0" w:leftChars="0" w:right="0" w:rightChars="0"/>
              <w:jc w:val="center"/>
              <w:textAlignment w:val="baseline"/>
              <w:rPr>
                <w:rFonts w:hint="eastAsia" w:ascii="Times New Roman" w:hAnsi="Times New Roman" w:eastAsia="黑体" w:cs="Times New Roman"/>
                <w:kern w:val="2"/>
                <w:sz w:val="20"/>
                <w:szCs w:val="20"/>
                <w:lang w:val="en-US" w:eastAsia="zh-CN" w:bidi="ar-SA"/>
              </w:rPr>
            </w:pPr>
            <w:r>
              <w:rPr>
                <w:rFonts w:hint="default" w:ascii="Times New Roman" w:hAnsi="Times New Roman" w:eastAsia="黑体" w:cs="Times New Roman"/>
                <w:sz w:val="20"/>
                <w:szCs w:val="20"/>
              </w:rPr>
              <w:t>2</w:t>
            </w:r>
            <w:r>
              <w:rPr>
                <w:rFonts w:hint="eastAsia" w:ascii="Times New Roman" w:hAnsi="Times New Roman" w:eastAsia="黑体" w:cs="Times New Roman"/>
                <w:sz w:val="20"/>
                <w:szCs w:val="20"/>
                <w:lang w:val="en-US" w:eastAsia="zh-CN"/>
              </w:rPr>
              <w:t>0</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autoSpaceDE/>
              <w:autoSpaceDN/>
              <w:bidi w:val="0"/>
              <w:adjustRightInd w:val="0"/>
              <w:snapToGrid w:val="0"/>
              <w:spacing w:line="200" w:lineRule="exact"/>
              <w:ind w:left="0" w:leftChars="0" w:right="0" w:rightChars="0"/>
              <w:jc w:val="center"/>
              <w:textAlignment w:val="baseline"/>
              <w:rPr>
                <w:rFonts w:hint="default" w:ascii="Times New Roman" w:hAnsi="Times New Roman" w:eastAsia="黑体" w:cs="Times New Roman"/>
                <w:kern w:val="2"/>
                <w:sz w:val="20"/>
                <w:szCs w:val="20"/>
                <w:lang w:val="en-US" w:eastAsia="en-US" w:bidi="ar-SA"/>
              </w:rPr>
            </w:pPr>
            <w:r>
              <w:rPr>
                <w:rFonts w:hint="default" w:ascii="Times New Roman" w:hAnsi="Times New Roman" w:eastAsia="黑体" w:cs="Times New Roman"/>
                <w:sz w:val="20"/>
                <w:szCs w:val="20"/>
              </w:rPr>
              <w:t>/</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autoSpaceDE/>
              <w:autoSpaceDN/>
              <w:bidi w:val="0"/>
              <w:adjustRightInd w:val="0"/>
              <w:snapToGrid w:val="0"/>
              <w:spacing w:line="200" w:lineRule="exact"/>
              <w:ind w:left="0" w:leftChars="0" w:right="0" w:rightChars="0"/>
              <w:jc w:val="center"/>
              <w:textAlignment w:val="baseline"/>
              <w:rPr>
                <w:rFonts w:hint="default" w:ascii="Times New Roman" w:hAnsi="Times New Roman" w:eastAsia="黑体" w:cs="Times New Roman"/>
                <w:kern w:val="2"/>
                <w:sz w:val="20"/>
                <w:szCs w:val="20"/>
                <w:lang w:val="en-US" w:eastAsia="en-US" w:bidi="ar-SA"/>
              </w:rPr>
            </w:pPr>
            <w:r>
              <w:rPr>
                <w:rFonts w:hint="default" w:ascii="Times New Roman" w:hAnsi="Times New Roman" w:eastAsia="黑体" w:cs="Times New Roman"/>
                <w:sz w:val="20"/>
                <w:szCs w:val="20"/>
              </w:rPr>
              <w:t>/</w:t>
            </w:r>
          </w:p>
        </w:tc>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67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95.2</w:t>
            </w:r>
          </w:p>
        </w:tc>
        <w:tc>
          <w:tcPr>
            <w:tcW w:w="16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tabs>
          <w:tab w:val="left" w:pos="7560"/>
        </w:tabs>
        <w:adjustRightInd w:val="0"/>
        <w:snapToGrid w:val="0"/>
        <w:spacing w:line="560" w:lineRule="exac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2"/>
        </w:rPr>
        <w:t>填表人：</w:t>
      </w:r>
      <w:r>
        <w:rPr>
          <w:rFonts w:hint="eastAsia" w:ascii="Times New Roman" w:hAnsi="Times New Roman" w:eastAsia="仿宋_GB2312" w:cs="Times New Roman"/>
          <w:b w:val="0"/>
          <w:bCs w:val="0"/>
          <w:sz w:val="22"/>
          <w:lang w:eastAsia="zh-CN"/>
        </w:rPr>
        <w:t>丁鑫禹</w:t>
      </w:r>
      <w:r>
        <w:rPr>
          <w:rFonts w:hint="default" w:ascii="Times New Roman" w:hAnsi="Times New Roman" w:eastAsia="仿宋_GB2312" w:cs="Times New Roman"/>
          <w:b w:val="0"/>
          <w:bCs w:val="0"/>
          <w:sz w:val="22"/>
        </w:rPr>
        <w:t xml:space="preserve">  填报日期：</w:t>
      </w:r>
      <w:r>
        <w:rPr>
          <w:rFonts w:hint="eastAsia" w:ascii="Times New Roman" w:hAnsi="Times New Roman" w:eastAsia="仿宋_GB2312" w:cs="Times New Roman"/>
          <w:b w:val="0"/>
          <w:bCs w:val="0"/>
          <w:sz w:val="22"/>
          <w:lang w:val="en-US" w:eastAsia="zh-CN"/>
        </w:rPr>
        <w:t>2025.5.16</w:t>
      </w:r>
      <w:r>
        <w:rPr>
          <w:rFonts w:hint="default" w:ascii="Times New Roman" w:hAnsi="Times New Roman" w:eastAsia="仿宋_GB2312" w:cs="Times New Roman"/>
          <w:b w:val="0"/>
          <w:bCs w:val="0"/>
          <w:sz w:val="22"/>
        </w:rPr>
        <w:t xml:space="preserve">  联系电话：</w:t>
      </w:r>
      <w:r>
        <w:rPr>
          <w:rFonts w:hint="eastAsia" w:ascii="Times New Roman" w:hAnsi="Times New Roman" w:eastAsia="仿宋_GB2312" w:cs="Times New Roman"/>
          <w:b w:val="0"/>
          <w:bCs w:val="0"/>
          <w:sz w:val="22"/>
          <w:lang w:val="en-US" w:eastAsia="zh-CN"/>
        </w:rPr>
        <w:t>28681018</w:t>
      </w:r>
      <w:r>
        <w:rPr>
          <w:rFonts w:hint="default" w:ascii="Times New Roman" w:hAnsi="Times New Roman" w:eastAsia="仿宋_GB2312" w:cs="Times New Roman"/>
          <w:b w:val="0"/>
          <w:bCs w:val="0"/>
          <w:sz w:val="22"/>
        </w:rPr>
        <w:t xml:space="preserve">  单位负责人签字：</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pPr>
        <w:widowControl/>
        <w:spacing w:line="400" w:lineRule="exact"/>
        <w:jc w:val="lef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3</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eastAsia" w:ascii="Times New Roman" w:hAnsi="Times New Roman" w:eastAsia="方正小标宋简体" w:cs="Times New Roman"/>
          <w:color w:val="000000"/>
          <w:kern w:val="0"/>
          <w:sz w:val="41"/>
          <w:szCs w:val="41"/>
          <w:lang w:val="en-US" w:eastAsia="zh-CN" w:bidi="ar"/>
        </w:rPr>
        <w:t>行政运行（其他）</w:t>
      </w:r>
      <w:r>
        <w:rPr>
          <w:rFonts w:hint="default" w:ascii="Times New Roman" w:hAnsi="Times New Roman" w:eastAsia="方正小标宋简体" w:cs="Times New Roman"/>
          <w:color w:val="000000"/>
          <w:kern w:val="0"/>
          <w:sz w:val="41"/>
          <w:szCs w:val="41"/>
          <w:lang w:val="en-US" w:eastAsia="zh-CN" w:bidi="ar"/>
        </w:rPr>
        <w:t>经费</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1"/>
          <w:szCs w:val="41"/>
          <w:lang w:val="en-US" w:eastAsia="zh-CN" w:bidi="ar"/>
        </w:rPr>
        <w:t>绩效自评报告</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楷体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一、预算收支出情况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2024年预算收入418.85万元，其中年初预算433.32万元（含</w:t>
      </w:r>
      <w:r>
        <w:rPr>
          <w:rFonts w:hint="eastAsia" w:ascii="Times New Roman" w:hAnsi="Times New Roman" w:eastAsia="仿宋_GB2312" w:cs="Times New Roman"/>
          <w:color w:val="000000"/>
          <w:kern w:val="0"/>
          <w:sz w:val="32"/>
          <w:szCs w:val="32"/>
          <w:lang w:val="en-US" w:eastAsia="zh-CN" w:bidi="ar"/>
        </w:rPr>
        <w:t>工业和信息化工作经费411万元、</w:t>
      </w:r>
      <w:r>
        <w:rPr>
          <w:rFonts w:hint="default" w:ascii="Times New Roman" w:hAnsi="Times New Roman" w:eastAsia="仿宋_GB2312" w:cs="Times New Roman"/>
          <w:color w:val="000000"/>
          <w:kern w:val="0"/>
          <w:sz w:val="32"/>
          <w:szCs w:val="32"/>
          <w:lang w:val="en-US" w:eastAsia="zh-CN" w:bidi="ar"/>
        </w:rPr>
        <w:t xml:space="preserve">2024年重点项目前期经费经建科划转15万元、2023年度财源建设先进单位7.32万元），实际支出418.85万元。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二、项目支出绩效情况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kern w:val="0"/>
          <w:sz w:val="32"/>
          <w:szCs w:val="32"/>
          <w:rtl w:val="0"/>
          <w:lang w:val="en-US" w:eastAsia="zh-CN" w:bidi="ar"/>
        </w:rPr>
      </w:pPr>
      <w:r>
        <w:rPr>
          <w:rFonts w:hint="default" w:ascii="Times New Roman" w:hAnsi="Times New Roman" w:eastAsia="仿宋_GB2312" w:cs="Times New Roman"/>
          <w:color w:val="000000"/>
          <w:kern w:val="0"/>
          <w:sz w:val="32"/>
          <w:szCs w:val="32"/>
          <w:lang w:val="en-US" w:eastAsia="zh-CN" w:bidi="ar"/>
        </w:rPr>
        <w:t>2024年行政运行（其他）经费支出</w:t>
      </w:r>
      <w:r>
        <w:rPr>
          <w:rFonts w:hint="eastAsia" w:ascii="Times New Roman" w:hAnsi="Times New Roman" w:eastAsia="仿宋_GB2312" w:cs="Times New Roman"/>
          <w:color w:val="000000"/>
          <w:kern w:val="0"/>
          <w:sz w:val="32"/>
          <w:szCs w:val="32"/>
          <w:lang w:val="en-US" w:eastAsia="zh-CN" w:bidi="ar"/>
        </w:rPr>
        <w:t>418.85</w:t>
      </w:r>
      <w:r>
        <w:rPr>
          <w:rFonts w:hint="default" w:ascii="Times New Roman" w:hAnsi="Times New Roman" w:eastAsia="仿宋_GB2312" w:cs="Times New Roman"/>
          <w:color w:val="000000"/>
          <w:kern w:val="0"/>
          <w:sz w:val="32"/>
          <w:szCs w:val="32"/>
          <w:lang w:val="en-US" w:eastAsia="zh-CN" w:bidi="ar"/>
        </w:rPr>
        <w:t>万元，主要用于支出：福利费67.06万元、劳务费62.81万元、差旅费</w:t>
      </w:r>
      <w:r>
        <w:rPr>
          <w:rFonts w:hint="eastAsia" w:ascii="Times New Roman" w:hAnsi="Times New Roman" w:eastAsia="仿宋_GB2312" w:cs="Times New Roman"/>
          <w:color w:val="000000"/>
          <w:kern w:val="0"/>
          <w:sz w:val="32"/>
          <w:szCs w:val="32"/>
          <w:lang w:val="en-US" w:eastAsia="zh-CN" w:bidi="ar"/>
        </w:rPr>
        <w:t>57.32</w:t>
      </w:r>
      <w:r>
        <w:rPr>
          <w:rFonts w:hint="default" w:ascii="Times New Roman" w:hAnsi="Times New Roman" w:eastAsia="仿宋_GB2312" w:cs="Times New Roman"/>
          <w:color w:val="000000"/>
          <w:kern w:val="0"/>
          <w:sz w:val="32"/>
          <w:szCs w:val="32"/>
          <w:lang w:val="en-US" w:eastAsia="zh-CN" w:bidi="ar"/>
        </w:rPr>
        <w:t>万元、印刷费</w:t>
      </w:r>
      <w:r>
        <w:rPr>
          <w:rFonts w:hint="eastAsia" w:ascii="Times New Roman" w:hAnsi="Times New Roman" w:eastAsia="仿宋_GB2312" w:cs="Times New Roman"/>
          <w:color w:val="000000"/>
          <w:kern w:val="0"/>
          <w:sz w:val="32"/>
          <w:szCs w:val="32"/>
          <w:lang w:val="en-US" w:eastAsia="zh-CN" w:bidi="ar"/>
        </w:rPr>
        <w:t>54.23</w:t>
      </w:r>
      <w:r>
        <w:rPr>
          <w:rFonts w:hint="default" w:ascii="Times New Roman" w:hAnsi="Times New Roman" w:eastAsia="仿宋_GB2312" w:cs="Times New Roman"/>
          <w:color w:val="000000"/>
          <w:kern w:val="0"/>
          <w:sz w:val="32"/>
          <w:szCs w:val="32"/>
          <w:lang w:val="en-US" w:eastAsia="zh-CN" w:bidi="ar"/>
        </w:rPr>
        <w:t>万元、物业管理费52.15万元、维修（护）费</w:t>
      </w:r>
      <w:r>
        <w:rPr>
          <w:rFonts w:hint="eastAsia" w:ascii="Times New Roman" w:hAnsi="Times New Roman" w:eastAsia="仿宋_GB2312" w:cs="Times New Roman"/>
          <w:color w:val="000000"/>
          <w:kern w:val="0"/>
          <w:sz w:val="32"/>
          <w:szCs w:val="32"/>
          <w:lang w:val="en-US" w:eastAsia="zh-CN" w:bidi="ar"/>
        </w:rPr>
        <w:t>39.54</w:t>
      </w:r>
      <w:r>
        <w:rPr>
          <w:rFonts w:hint="default" w:ascii="Times New Roman" w:hAnsi="Times New Roman" w:eastAsia="仿宋_GB2312" w:cs="Times New Roman"/>
          <w:color w:val="000000"/>
          <w:kern w:val="0"/>
          <w:sz w:val="32"/>
          <w:szCs w:val="32"/>
          <w:lang w:val="en-US" w:eastAsia="zh-CN" w:bidi="ar"/>
        </w:rPr>
        <w:t>万元、电费36万元、邮电费10.86万元、委托业务费6.93万元</w:t>
      </w:r>
      <w:r>
        <w:rPr>
          <w:rFonts w:hint="eastAsia" w:ascii="Times New Roman" w:hAnsi="Times New Roman" w:eastAsia="仿宋_GB2312" w:cs="Times New Roman"/>
          <w:color w:val="000000"/>
          <w:kern w:val="0"/>
          <w:sz w:val="32"/>
          <w:szCs w:val="32"/>
          <w:lang w:val="en-US" w:eastAsia="zh-CN" w:bidi="ar"/>
        </w:rPr>
        <w:t>、信息网络及软件购置更新6万元、租赁费1.32万元</w:t>
      </w:r>
      <w:r>
        <w:rPr>
          <w:rFonts w:hint="default" w:ascii="Times New Roman" w:hAnsi="Times New Roman" w:eastAsia="仿宋_GB2312" w:cs="Times New Roman"/>
          <w:color w:val="000000"/>
          <w:kern w:val="0"/>
          <w:sz w:val="32"/>
          <w:szCs w:val="32"/>
          <w:lang w:val="en-US" w:eastAsia="zh-CN" w:bidi="ar"/>
        </w:rPr>
        <w:t>。项目实施及绩效情况如下：</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kern w:val="0"/>
          <w:sz w:val="32"/>
          <w:szCs w:val="32"/>
          <w:rtl w:val="0"/>
          <w:lang w:val="en-US" w:eastAsia="zh-CN" w:bidi="ar"/>
        </w:rPr>
      </w:pPr>
      <w:r>
        <w:rPr>
          <w:rFonts w:hint="default" w:ascii="Times New Roman" w:hAnsi="Times New Roman" w:eastAsia="楷体_GB2312" w:cs="Times New Roman"/>
          <w:color w:val="000000"/>
          <w:kern w:val="0"/>
          <w:sz w:val="32"/>
          <w:szCs w:val="32"/>
          <w:rtl w:val="0"/>
          <w:lang w:val="en-US" w:eastAsia="zh-CN" w:bidi="ar"/>
        </w:rPr>
        <w:t>（一）加强后勤保障。</w:t>
      </w:r>
      <w:r>
        <w:rPr>
          <w:rFonts w:hint="default" w:ascii="Times New Roman" w:hAnsi="Times New Roman" w:eastAsia="仿宋_GB2312" w:cs="Times New Roman"/>
          <w:color w:val="000000"/>
          <w:kern w:val="0"/>
          <w:sz w:val="32"/>
          <w:szCs w:val="32"/>
          <w:rtl w:val="0"/>
          <w:lang w:val="en-US" w:eastAsia="zh-CN" w:bidi="ar"/>
        </w:rPr>
        <w:t>一是组织保安人员，对办公区域及大院进行保卫，完成车辆引导等工作。二是安排清洁人员，对机关大院区域全方位卫生保洁，不留死角，专人负责。三是安排专人对会议中心参加会议人员进行会务服务，并对电梯、茶具等器物消毒。通过各项措施，确保了机关办公秩序井然。</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kern w:val="0"/>
          <w:sz w:val="32"/>
          <w:szCs w:val="32"/>
          <w:rtl w:val="0"/>
          <w:lang w:val="en-US" w:eastAsia="zh-CN" w:bidi="ar"/>
        </w:rPr>
      </w:pPr>
      <w:r>
        <w:rPr>
          <w:rFonts w:hint="default" w:ascii="Times New Roman" w:hAnsi="Times New Roman" w:eastAsia="楷体_GB2312" w:cs="Times New Roman"/>
          <w:color w:val="000000"/>
          <w:kern w:val="0"/>
          <w:sz w:val="32"/>
          <w:szCs w:val="32"/>
          <w:rtl w:val="0"/>
          <w:lang w:val="en-US" w:eastAsia="zh-CN" w:bidi="ar"/>
        </w:rPr>
        <w:t>（二）提高会务水平。</w:t>
      </w:r>
      <w:r>
        <w:rPr>
          <w:rFonts w:hint="default" w:ascii="Times New Roman" w:hAnsi="Times New Roman" w:eastAsia="仿宋_GB2312" w:cs="Times New Roman"/>
          <w:color w:val="000000"/>
          <w:kern w:val="0"/>
          <w:sz w:val="32"/>
          <w:szCs w:val="32"/>
          <w:rtl w:val="0"/>
          <w:lang w:val="en-US" w:eastAsia="zh-CN" w:bidi="ar"/>
        </w:rPr>
        <w:t>不断改进会务服务理念，严格按规定高效完成各项会务工作。局机关全年共召开大小会议726场次、12476人次参加，其中大型会议43场、平均90人/场，有效保障了机关工作的顺利开展。</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rtl w:val="0"/>
          <w:lang w:val="en-US" w:eastAsia="zh-CN" w:bidi="ar"/>
        </w:rPr>
        <w:t>（三）提升服务能力。</w:t>
      </w:r>
      <w:r>
        <w:rPr>
          <w:rFonts w:hint="default" w:ascii="Times New Roman" w:hAnsi="Times New Roman" w:eastAsia="仿宋_GB2312" w:cs="Times New Roman"/>
          <w:color w:val="000000"/>
          <w:kern w:val="0"/>
          <w:sz w:val="32"/>
          <w:szCs w:val="32"/>
          <w:lang w:val="en-US" w:eastAsia="zh-CN" w:bidi="ar"/>
        </w:rPr>
        <w:t>一是深化改革。推进电子设备维修外包，科室诉求一喊就应、上门服务。全年</w:t>
      </w:r>
      <w:r>
        <w:rPr>
          <w:rFonts w:hint="default" w:ascii="Times New Roman" w:hAnsi="Times New Roman" w:eastAsia="仿宋_GB2312" w:cs="Times New Roman"/>
          <w:color w:val="000000"/>
          <w:kern w:val="0"/>
          <w:sz w:val="32"/>
          <w:szCs w:val="32"/>
          <w:lang w:val="en" w:eastAsia="zh-CN" w:bidi="ar"/>
        </w:rPr>
        <w:t>该项</w:t>
      </w:r>
      <w:r>
        <w:rPr>
          <w:rFonts w:hint="default" w:ascii="Times New Roman" w:hAnsi="Times New Roman" w:eastAsia="仿宋_GB2312" w:cs="Times New Roman"/>
          <w:color w:val="000000"/>
          <w:kern w:val="0"/>
          <w:sz w:val="32"/>
          <w:szCs w:val="32"/>
          <w:lang w:val="en-US" w:eastAsia="zh-CN" w:bidi="ar"/>
        </w:rPr>
        <w:t>支出6.9万元，下降26.1%。二是规范流程。落实“过紧日子”要求，</w:t>
      </w:r>
      <w:r>
        <w:rPr>
          <w:rFonts w:hint="default" w:ascii="Times New Roman" w:hAnsi="Times New Roman" w:eastAsia="仿宋_GB2312" w:cs="Times New Roman"/>
          <w:color w:val="000000"/>
          <w:kern w:val="0"/>
          <w:sz w:val="32"/>
          <w:szCs w:val="32"/>
          <w:lang w:val="en" w:eastAsia="zh-CN" w:bidi="ar"/>
        </w:rPr>
        <w:t>聚焦重点问题和关键环节，</w:t>
      </w:r>
      <w:r>
        <w:rPr>
          <w:rFonts w:hint="default" w:ascii="Times New Roman" w:hAnsi="Times New Roman" w:eastAsia="仿宋_GB2312" w:cs="Times New Roman"/>
          <w:color w:val="000000"/>
          <w:kern w:val="0"/>
          <w:sz w:val="32"/>
          <w:szCs w:val="32"/>
          <w:lang w:val="en-US" w:eastAsia="zh-CN" w:bidi="ar"/>
        </w:rPr>
        <w:t>加强报账前会商，集众人力量查漏补缺</w:t>
      </w:r>
      <w:r>
        <w:rPr>
          <w:rFonts w:hint="default" w:ascii="Times New Roman" w:hAnsi="Times New Roman" w:eastAsia="仿宋_GB2312" w:cs="Times New Roman"/>
          <w:color w:val="000000"/>
          <w:kern w:val="0"/>
          <w:sz w:val="32"/>
          <w:szCs w:val="32"/>
          <w:lang w:val="en" w:eastAsia="zh-CN" w:bidi="ar"/>
        </w:rPr>
        <w:t>、杜绝隐患</w:t>
      </w:r>
      <w:r>
        <w:rPr>
          <w:rFonts w:hint="default" w:ascii="Times New Roman" w:hAnsi="Times New Roman" w:eastAsia="仿宋_GB2312" w:cs="Times New Roman"/>
          <w:color w:val="000000"/>
          <w:kern w:val="0"/>
          <w:sz w:val="32"/>
          <w:szCs w:val="32"/>
          <w:lang w:val="en-US" w:eastAsia="zh-CN" w:bidi="ar"/>
        </w:rPr>
        <w:t>。三是</w:t>
      </w:r>
      <w:r>
        <w:rPr>
          <w:rFonts w:hint="default" w:ascii="Times New Roman" w:hAnsi="Times New Roman" w:eastAsia="仿宋_GB2312" w:cs="Times New Roman"/>
          <w:color w:val="000000"/>
          <w:kern w:val="0"/>
          <w:sz w:val="32"/>
          <w:szCs w:val="32"/>
          <w:lang w:val="en" w:eastAsia="zh-CN" w:bidi="ar"/>
        </w:rPr>
        <w:t>改善</w:t>
      </w:r>
      <w:r>
        <w:rPr>
          <w:rFonts w:hint="default" w:ascii="Times New Roman" w:hAnsi="Times New Roman" w:eastAsia="仿宋_GB2312" w:cs="Times New Roman"/>
          <w:color w:val="000000"/>
          <w:kern w:val="0"/>
          <w:sz w:val="32"/>
          <w:szCs w:val="32"/>
          <w:lang w:val="en-US" w:eastAsia="zh-CN" w:bidi="ar"/>
        </w:rPr>
        <w:t>环境。前后4次利用周末抢修单位电路，推进食堂、门楼防水和雨污分流改造，持续营造良好的环境。</w:t>
      </w:r>
    </w:p>
    <w:p>
      <w:pPr>
        <w:tabs>
          <w:tab w:val="left" w:pos="7560"/>
        </w:tabs>
        <w:adjustRightInd w:val="0"/>
        <w:snapToGrid w:val="0"/>
        <w:spacing w:line="560" w:lineRule="exact"/>
        <w:rPr>
          <w:rFonts w:hint="default" w:ascii="Times New Roman" w:hAnsi="Times New Roman" w:eastAsia="黑体" w:cs="Times New Roman"/>
          <w:sz w:val="32"/>
          <w:szCs w:val="32"/>
        </w:rPr>
      </w:pPr>
    </w:p>
    <w:p>
      <w:pPr>
        <w:widowControl/>
        <w:spacing w:line="600" w:lineRule="exact"/>
        <w:jc w:val="center"/>
        <w:rPr>
          <w:rFonts w:hint="default" w:ascii="Times New Roman" w:hAnsi="Times New Roman" w:eastAsia="方正大标宋简体" w:cs="Times New Roman"/>
          <w:color w:val="000000"/>
          <w:sz w:val="36"/>
          <w:szCs w:val="36"/>
        </w:rPr>
        <w:sectPr>
          <w:footerReference r:id="rId3" w:type="default"/>
          <w:pgSz w:w="11906" w:h="16838"/>
          <w:pgMar w:top="2098" w:right="1531" w:bottom="1985" w:left="1531" w:header="851" w:footer="1588" w:gutter="0"/>
          <w:cols w:space="720" w:num="1"/>
          <w:docGrid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2024年度项目支出绩效自评表</w:t>
      </w:r>
    </w:p>
    <w:tbl>
      <w:tblPr>
        <w:tblStyle w:val="22"/>
        <w:tblW w:w="9839" w:type="dxa"/>
        <w:jc w:val="center"/>
        <w:tblLayout w:type="autofit"/>
        <w:tblCellMar>
          <w:top w:w="0" w:type="dxa"/>
          <w:left w:w="108" w:type="dxa"/>
          <w:bottom w:w="0" w:type="dxa"/>
          <w:right w:w="108" w:type="dxa"/>
        </w:tblCellMar>
      </w:tblPr>
      <w:tblGrid>
        <w:gridCol w:w="1077"/>
        <w:gridCol w:w="1077"/>
        <w:gridCol w:w="1079"/>
        <w:gridCol w:w="1222"/>
        <w:gridCol w:w="1135"/>
        <w:gridCol w:w="1132"/>
        <w:gridCol w:w="826"/>
        <w:gridCol w:w="871"/>
        <w:gridCol w:w="1420"/>
      </w:tblGrid>
      <w:tr>
        <w:tblPrEx>
          <w:tblCellMar>
            <w:top w:w="0" w:type="dxa"/>
            <w:left w:w="108" w:type="dxa"/>
            <w:bottom w:w="0" w:type="dxa"/>
            <w:right w:w="108" w:type="dxa"/>
          </w:tblCellMar>
        </w:tblPrEx>
        <w:trPr>
          <w:trHeight w:val="582"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62"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val="en-US" w:eastAsia="zh-CN"/>
              </w:rPr>
              <w:t>行政运行（其他）经费</w:t>
            </w:r>
          </w:p>
        </w:tc>
      </w:tr>
      <w:tr>
        <w:tblPrEx>
          <w:tblCellMar>
            <w:top w:w="0" w:type="dxa"/>
            <w:left w:w="108" w:type="dxa"/>
            <w:bottom w:w="0" w:type="dxa"/>
            <w:right w:w="108" w:type="dxa"/>
          </w:tblCellMar>
        </w:tblPrEx>
        <w:trPr>
          <w:trHeight w:val="398" w:hRule="atLeast"/>
          <w:jc w:val="center"/>
        </w:trPr>
        <w:tc>
          <w:tcPr>
            <w:tcW w:w="107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3"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株洲市工业和信息化局</w:t>
            </w:r>
          </w:p>
        </w:tc>
        <w:tc>
          <w:tcPr>
            <w:tcW w:w="1132"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7"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株洲市工业和信息化局</w:t>
            </w:r>
            <w:r>
              <w:rPr>
                <w:rFonts w:hint="eastAsia" w:ascii="Times New Roman" w:hAnsi="Times New Roman" w:eastAsia="仿宋_GB2312" w:cs="Times New Roman"/>
                <w:color w:val="000000"/>
                <w:sz w:val="20"/>
                <w:szCs w:val="20"/>
                <w:lang w:eastAsia="zh-CN"/>
              </w:rPr>
              <w:t>机关</w:t>
            </w:r>
          </w:p>
        </w:tc>
      </w:tr>
      <w:tr>
        <w:tblPrEx>
          <w:tblCellMar>
            <w:top w:w="0" w:type="dxa"/>
            <w:left w:w="108" w:type="dxa"/>
            <w:bottom w:w="0" w:type="dxa"/>
            <w:right w:w="108" w:type="dxa"/>
          </w:tblCellMar>
        </w:tblPrEx>
        <w:trPr>
          <w:trHeight w:val="554"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2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460"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433.32</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418.85</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418.85</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22"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433.32</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418.85</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418.85</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trHeight w:val="386"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1018"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维持办公场所基本运行，保障</w:t>
            </w:r>
            <w:r>
              <w:rPr>
                <w:rFonts w:hint="default" w:ascii="Times New Roman" w:hAnsi="Times New Roman" w:eastAsia="仿宋_GB2312" w:cs="Times New Roman"/>
                <w:color w:val="000000"/>
                <w:sz w:val="20"/>
                <w:szCs w:val="20"/>
                <w:lang w:eastAsia="zh-CN"/>
              </w:rPr>
              <w:t>工信</w:t>
            </w:r>
            <w:r>
              <w:rPr>
                <w:rFonts w:hint="default" w:ascii="Times New Roman" w:hAnsi="Times New Roman" w:eastAsia="仿宋_GB2312" w:cs="Times New Roman"/>
                <w:color w:val="000000"/>
                <w:sz w:val="20"/>
                <w:szCs w:val="20"/>
              </w:rPr>
              <w:t>工作正常开展。</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机关办公运转正常，业务工作有序开展。</w:t>
            </w:r>
          </w:p>
        </w:tc>
      </w:tr>
      <w:tr>
        <w:tblPrEx>
          <w:tblCellMar>
            <w:top w:w="0" w:type="dxa"/>
            <w:left w:w="108" w:type="dxa"/>
            <w:bottom w:w="0" w:type="dxa"/>
            <w:right w:w="108" w:type="dxa"/>
          </w:tblCellMar>
        </w:tblPrEx>
        <w:trPr>
          <w:trHeight w:val="588" w:hRule="atLeast"/>
          <w:jc w:val="center"/>
        </w:trPr>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及改进措施</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40分</w:t>
            </w:r>
            <w:r>
              <w:rPr>
                <w:rFonts w:hint="default" w:ascii="Times New Roman" w:hAnsi="Times New Roman" w:eastAsia="仿宋_GB2312" w:cs="Times New Roman"/>
                <w:color w:val="000000"/>
                <w:sz w:val="20"/>
                <w:szCs w:val="20"/>
                <w:lang w:eastAsia="zh-CN"/>
              </w:rPr>
              <w:t>）</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可供正常使用的会议室数量</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lang w:val="en-US" w:eastAsia="zh-CN"/>
              </w:rPr>
              <w:t>4个</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val="en-US" w:eastAsia="zh-CN"/>
              </w:rPr>
              <w:t>4</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办公楼等工作场所正常运转天数</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lang w:val="en-US" w:eastAsia="zh-CN"/>
              </w:rPr>
              <w:t>360天</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全年</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物业保障周期</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=12月</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12个月</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维修（护）费</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较去年下降</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eastAsia="zh-CN"/>
              </w:rPr>
              <w:t>下降</w:t>
            </w:r>
            <w:r>
              <w:rPr>
                <w:rFonts w:hint="default" w:ascii="Times New Roman" w:hAnsi="Times New Roman" w:eastAsia="仿宋_GB2312" w:cs="Times New Roman"/>
                <w:color w:val="000000"/>
                <w:sz w:val="20"/>
                <w:szCs w:val="20"/>
                <w:lang w:val="en-US" w:eastAsia="zh-CN"/>
              </w:rPr>
              <w:t>4.14万元</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val="en-US" w:eastAsia="zh-CN"/>
              </w:rPr>
              <w:t>对单位业务管理水平的提升或影响程度</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val="en-US" w:eastAsia="zh-CN"/>
              </w:rPr>
              <w:t>明显</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明显</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办公环境</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进一步改善</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eastAsia="zh-CN"/>
              </w:rPr>
              <w:t>改善</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1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机关工作人员满意度</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lang w:val="en-US" w:eastAsia="zh-CN"/>
              </w:rPr>
              <w:t>90%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98%</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指标支付进度</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lang w:val="en-US" w:eastAsia="zh-CN"/>
              </w:rPr>
              <w:t>95%</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96.66</w:t>
            </w:r>
            <w:r>
              <w:rPr>
                <w:rFonts w:hint="default"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eastAsia="zh-CN"/>
              </w:rPr>
              <w:t>全年电费</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较去年下降</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eastAsia="zh-CN"/>
              </w:rPr>
              <w:t>下降</w:t>
            </w:r>
            <w:r>
              <w:rPr>
                <w:rFonts w:hint="default" w:ascii="Times New Roman" w:hAnsi="Times New Roman" w:eastAsia="仿宋_GB2312" w:cs="Times New Roman"/>
                <w:color w:val="000000"/>
                <w:sz w:val="20"/>
                <w:szCs w:val="20"/>
                <w:lang w:val="en-US" w:eastAsia="zh-CN"/>
              </w:rPr>
              <w:t>2.8万元</w:t>
            </w: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07" w:hRule="atLeast"/>
          <w:jc w:val="center"/>
        </w:trPr>
        <w:tc>
          <w:tcPr>
            <w:tcW w:w="6722"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r>
    </w:tbl>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eastAsia" w:ascii="Times New Roman" w:hAnsi="Times New Roman" w:eastAsia="方正小标宋简体" w:cs="Times New Roman"/>
          <w:color w:val="000000"/>
          <w:kern w:val="0"/>
          <w:sz w:val="41"/>
          <w:szCs w:val="41"/>
          <w:lang w:val="en-US" w:eastAsia="zh-CN" w:bidi="ar"/>
        </w:rPr>
        <w:t>市工信局2023年信息化改造项目结转资金</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1"/>
          <w:szCs w:val="41"/>
          <w:lang w:val="en-US" w:eastAsia="zh-CN" w:bidi="ar"/>
        </w:rPr>
        <w:t>绩效自评报告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一、预算收支情况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0"/>
          <w:sz w:val="32"/>
          <w:szCs w:val="32"/>
          <w:highlight w:val="none"/>
          <w:lang w:bidi="ar"/>
        </w:rPr>
        <w:t>2024年预算</w:t>
      </w:r>
      <w:r>
        <w:rPr>
          <w:rFonts w:hint="eastAsia" w:ascii="Times New Roman" w:hAnsi="Times New Roman" w:eastAsia="仿宋_GB2312" w:cs="Times New Roman"/>
          <w:b w:val="0"/>
          <w:bCs w:val="0"/>
          <w:color w:val="000000"/>
          <w:kern w:val="0"/>
          <w:sz w:val="32"/>
          <w:szCs w:val="32"/>
          <w:highlight w:val="none"/>
          <w:lang w:val="en-US" w:eastAsia="zh-CN" w:bidi="ar"/>
        </w:rPr>
        <w:t>80.96</w:t>
      </w:r>
      <w:r>
        <w:rPr>
          <w:rFonts w:hint="default" w:ascii="Times New Roman" w:hAnsi="Times New Roman" w:eastAsia="仿宋_GB2312" w:cs="Times New Roman"/>
          <w:b w:val="0"/>
          <w:bCs w:val="0"/>
          <w:color w:val="000000"/>
          <w:kern w:val="0"/>
          <w:sz w:val="32"/>
          <w:szCs w:val="32"/>
          <w:highlight w:val="none"/>
          <w:lang w:bidi="ar"/>
        </w:rPr>
        <w:t>万元，其中年初预算</w:t>
      </w:r>
      <w:r>
        <w:rPr>
          <w:rFonts w:hint="eastAsia" w:ascii="Times New Roman" w:hAnsi="Times New Roman" w:eastAsia="仿宋_GB2312" w:cs="Times New Roman"/>
          <w:b w:val="0"/>
          <w:bCs w:val="0"/>
          <w:color w:val="000000"/>
          <w:kern w:val="0"/>
          <w:sz w:val="32"/>
          <w:szCs w:val="32"/>
          <w:highlight w:val="none"/>
          <w:lang w:val="en-US" w:eastAsia="zh-CN" w:bidi="ar"/>
        </w:rPr>
        <w:t>80.96</w:t>
      </w:r>
      <w:r>
        <w:rPr>
          <w:rFonts w:hint="default" w:ascii="Times New Roman" w:hAnsi="Times New Roman" w:eastAsia="仿宋_GB2312" w:cs="Times New Roman"/>
          <w:b w:val="0"/>
          <w:bCs w:val="0"/>
          <w:color w:val="000000"/>
          <w:kern w:val="0"/>
          <w:sz w:val="32"/>
          <w:szCs w:val="32"/>
          <w:highlight w:val="none"/>
          <w:lang w:bidi="ar"/>
        </w:rPr>
        <w:t>万元，实际支出</w:t>
      </w:r>
      <w:r>
        <w:rPr>
          <w:rFonts w:hint="eastAsia" w:ascii="Times New Roman" w:hAnsi="Times New Roman" w:eastAsia="仿宋_GB2312" w:cs="Times New Roman"/>
          <w:b w:val="0"/>
          <w:bCs w:val="0"/>
          <w:color w:val="000000"/>
          <w:kern w:val="0"/>
          <w:sz w:val="32"/>
          <w:szCs w:val="32"/>
          <w:highlight w:val="none"/>
          <w:lang w:val="en-US" w:eastAsia="zh-CN" w:bidi="ar"/>
        </w:rPr>
        <w:t>80.96</w:t>
      </w:r>
      <w:r>
        <w:rPr>
          <w:rFonts w:hint="default" w:ascii="Times New Roman" w:hAnsi="Times New Roman" w:eastAsia="仿宋_GB2312" w:cs="Times New Roman"/>
          <w:b w:val="0"/>
          <w:bCs w:val="0"/>
          <w:color w:val="000000"/>
          <w:kern w:val="0"/>
          <w:sz w:val="32"/>
          <w:szCs w:val="32"/>
          <w:highlight w:val="none"/>
          <w:lang w:bidi="ar"/>
        </w:rPr>
        <w:t xml:space="preserve">万元。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二、项目支出绩效情况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kern w:val="2"/>
          <w:sz w:val="32"/>
          <w:szCs w:val="32"/>
          <w:u w:val="single"/>
        </w:rPr>
      </w:pPr>
      <w:r>
        <w:rPr>
          <w:rFonts w:hint="default" w:ascii="Times New Roman" w:hAnsi="Times New Roman" w:eastAsia="仿宋_GB2312" w:cs="Times New Roman"/>
          <w:b w:val="0"/>
          <w:bCs w:val="0"/>
          <w:kern w:val="2"/>
          <w:sz w:val="32"/>
          <w:szCs w:val="32"/>
          <w:u w:val="none"/>
        </w:rPr>
        <w:t>本项目主要针对株洲市工业和信息化局信息化系统进行改造，本次改造内容主要分为以下4个部分：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rPr>
      </w:pPr>
      <w:r>
        <w:rPr>
          <w:rFonts w:hint="eastAsia" w:ascii="Times New Roman" w:hAnsi="Times New Roman" w:eastAsia="仿宋_GB2312" w:cs="Times New Roman"/>
          <w:b w:val="0"/>
          <w:bCs w:val="0"/>
          <w:color w:val="auto"/>
          <w:kern w:val="2"/>
          <w:sz w:val="32"/>
          <w:szCs w:val="32"/>
          <w:u w:val="none"/>
          <w:lang w:eastAsia="zh-CN"/>
        </w:rPr>
        <w:t>（</w:t>
      </w:r>
      <w:r>
        <w:rPr>
          <w:rFonts w:hint="eastAsia" w:ascii="Times New Roman" w:hAnsi="Times New Roman" w:eastAsia="仿宋_GB2312" w:cs="Times New Roman"/>
          <w:b w:val="0"/>
          <w:bCs w:val="0"/>
          <w:color w:val="auto"/>
          <w:kern w:val="2"/>
          <w:sz w:val="32"/>
          <w:szCs w:val="32"/>
          <w:u w:val="none"/>
          <w:lang w:val="en-US" w:eastAsia="zh-CN"/>
        </w:rPr>
        <w:t>一</w:t>
      </w:r>
      <w:r>
        <w:rPr>
          <w:rFonts w:hint="eastAsia" w:ascii="Times New Roman" w:hAnsi="Times New Roman" w:eastAsia="仿宋_GB2312" w:cs="Times New Roman"/>
          <w:b w:val="0"/>
          <w:bCs w:val="0"/>
          <w:color w:val="auto"/>
          <w:kern w:val="2"/>
          <w:sz w:val="32"/>
          <w:szCs w:val="32"/>
          <w:u w:val="none"/>
          <w:lang w:eastAsia="zh-CN"/>
        </w:rPr>
        <w:t>）</w:t>
      </w:r>
      <w:r>
        <w:rPr>
          <w:rFonts w:hint="default" w:ascii="Times New Roman" w:hAnsi="Times New Roman" w:eastAsia="仿宋_GB2312" w:cs="Times New Roman"/>
          <w:b w:val="0"/>
          <w:bCs w:val="0"/>
          <w:color w:val="auto"/>
          <w:kern w:val="2"/>
          <w:sz w:val="32"/>
          <w:szCs w:val="32"/>
          <w:u w:val="none"/>
        </w:rPr>
        <w:t>网络改造：包含网络改造、WLAN网络升级等；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rPr>
      </w:pPr>
      <w:r>
        <w:rPr>
          <w:rFonts w:hint="eastAsia" w:ascii="Times New Roman" w:hAnsi="Times New Roman" w:eastAsia="仿宋_GB2312" w:cs="Times New Roman"/>
          <w:b w:val="0"/>
          <w:bCs w:val="0"/>
          <w:color w:val="auto"/>
          <w:kern w:val="2"/>
          <w:sz w:val="32"/>
          <w:szCs w:val="32"/>
          <w:u w:val="none"/>
          <w:lang w:eastAsia="zh-CN"/>
        </w:rPr>
        <w:t>（</w:t>
      </w:r>
      <w:r>
        <w:rPr>
          <w:rFonts w:hint="eastAsia" w:ascii="Times New Roman" w:hAnsi="Times New Roman" w:eastAsia="仿宋_GB2312" w:cs="Times New Roman"/>
          <w:b w:val="0"/>
          <w:bCs w:val="0"/>
          <w:color w:val="auto"/>
          <w:kern w:val="2"/>
          <w:sz w:val="32"/>
          <w:szCs w:val="32"/>
          <w:u w:val="none"/>
          <w:lang w:val="en-US" w:eastAsia="zh-CN"/>
        </w:rPr>
        <w:t>二</w:t>
      </w:r>
      <w:r>
        <w:rPr>
          <w:rFonts w:hint="eastAsia" w:ascii="Times New Roman" w:hAnsi="Times New Roman" w:eastAsia="仿宋_GB2312" w:cs="Times New Roman"/>
          <w:b w:val="0"/>
          <w:bCs w:val="0"/>
          <w:color w:val="auto"/>
          <w:kern w:val="2"/>
          <w:sz w:val="32"/>
          <w:szCs w:val="32"/>
          <w:u w:val="none"/>
          <w:lang w:eastAsia="zh-CN"/>
        </w:rPr>
        <w:t>）</w:t>
      </w:r>
      <w:r>
        <w:rPr>
          <w:rFonts w:hint="default" w:ascii="Times New Roman" w:hAnsi="Times New Roman" w:eastAsia="仿宋_GB2312" w:cs="Times New Roman"/>
          <w:b w:val="0"/>
          <w:bCs w:val="0"/>
          <w:color w:val="auto"/>
          <w:kern w:val="2"/>
          <w:sz w:val="32"/>
          <w:szCs w:val="32"/>
          <w:u w:val="none"/>
        </w:rPr>
        <w:t>会议音视频系统：包含一楼音视频系统、智能中央控制系统、无纸化系统</w:t>
      </w:r>
      <w:r>
        <w:rPr>
          <w:rFonts w:hint="eastAsia" w:ascii="Times New Roman" w:hAnsi="Times New Roman" w:eastAsia="仿宋_GB2312" w:cs="Times New Roman"/>
          <w:b w:val="0"/>
          <w:bCs w:val="0"/>
          <w:color w:val="auto"/>
          <w:kern w:val="2"/>
          <w:sz w:val="32"/>
          <w:szCs w:val="32"/>
          <w:u w:val="none"/>
          <w:lang w:eastAsia="zh-CN"/>
        </w:rPr>
        <w:t>，</w:t>
      </w:r>
      <w:r>
        <w:rPr>
          <w:rFonts w:hint="default" w:ascii="Times New Roman" w:hAnsi="Times New Roman" w:eastAsia="仿宋_GB2312" w:cs="Times New Roman"/>
          <w:b w:val="0"/>
          <w:bCs w:val="0"/>
          <w:color w:val="auto"/>
          <w:kern w:val="2"/>
          <w:sz w:val="32"/>
          <w:szCs w:val="32"/>
          <w:u w:val="none"/>
        </w:rPr>
        <w:t>三楼音视频系统、会议系统、无纸化系统、电子桌牌系统、智能中央控制系统</w:t>
      </w:r>
      <w:r>
        <w:rPr>
          <w:rFonts w:hint="eastAsia" w:ascii="Times New Roman" w:hAnsi="Times New Roman" w:eastAsia="仿宋_GB2312" w:cs="Times New Roman"/>
          <w:b w:val="0"/>
          <w:bCs w:val="0"/>
          <w:color w:val="auto"/>
          <w:kern w:val="2"/>
          <w:sz w:val="32"/>
          <w:szCs w:val="32"/>
          <w:u w:val="none"/>
          <w:lang w:eastAsia="zh-CN"/>
        </w:rPr>
        <w:t>，</w:t>
      </w:r>
      <w:r>
        <w:rPr>
          <w:rFonts w:hint="default" w:ascii="Times New Roman" w:hAnsi="Times New Roman" w:eastAsia="仿宋_GB2312" w:cs="Times New Roman"/>
          <w:b w:val="0"/>
          <w:bCs w:val="0"/>
          <w:color w:val="auto"/>
          <w:kern w:val="2"/>
          <w:sz w:val="32"/>
          <w:szCs w:val="32"/>
          <w:u w:val="none"/>
        </w:rPr>
        <w:t>四楼音视频系统、视频会议系统、录播系统建设</w:t>
      </w:r>
      <w:r>
        <w:rPr>
          <w:rFonts w:hint="eastAsia" w:ascii="Times New Roman" w:hAnsi="Times New Roman" w:eastAsia="仿宋_GB2312" w:cs="Times New Roman"/>
          <w:b w:val="0"/>
          <w:bCs w:val="0"/>
          <w:color w:val="auto"/>
          <w:kern w:val="2"/>
          <w:sz w:val="32"/>
          <w:szCs w:val="32"/>
          <w:u w:val="none"/>
          <w:lang w:eastAsia="zh-CN"/>
        </w:rPr>
        <w:t>，</w:t>
      </w:r>
      <w:r>
        <w:rPr>
          <w:rFonts w:hint="default" w:ascii="Times New Roman" w:hAnsi="Times New Roman" w:eastAsia="仿宋_GB2312" w:cs="Times New Roman"/>
          <w:b w:val="0"/>
          <w:bCs w:val="0"/>
          <w:color w:val="auto"/>
          <w:kern w:val="2"/>
          <w:sz w:val="32"/>
          <w:szCs w:val="32"/>
          <w:u w:val="none"/>
        </w:rPr>
        <w:t>云会务管理系统建设等；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rPr>
      </w:pPr>
      <w:r>
        <w:rPr>
          <w:rFonts w:hint="eastAsia" w:ascii="Times New Roman" w:hAnsi="Times New Roman" w:eastAsia="仿宋_GB2312" w:cs="Times New Roman"/>
          <w:b w:val="0"/>
          <w:bCs w:val="0"/>
          <w:color w:val="auto"/>
          <w:kern w:val="2"/>
          <w:sz w:val="32"/>
          <w:szCs w:val="32"/>
          <w:u w:val="none"/>
          <w:lang w:eastAsia="zh-CN"/>
        </w:rPr>
        <w:t>（</w:t>
      </w:r>
      <w:r>
        <w:rPr>
          <w:rFonts w:hint="eastAsia" w:ascii="Times New Roman" w:hAnsi="Times New Roman" w:eastAsia="仿宋_GB2312" w:cs="Times New Roman"/>
          <w:b w:val="0"/>
          <w:bCs w:val="0"/>
          <w:color w:val="auto"/>
          <w:kern w:val="2"/>
          <w:sz w:val="32"/>
          <w:szCs w:val="32"/>
          <w:u w:val="none"/>
          <w:lang w:val="en-US" w:eastAsia="zh-CN"/>
        </w:rPr>
        <w:t>三</w:t>
      </w:r>
      <w:r>
        <w:rPr>
          <w:rFonts w:hint="eastAsia" w:ascii="Times New Roman" w:hAnsi="Times New Roman" w:eastAsia="仿宋_GB2312" w:cs="Times New Roman"/>
          <w:b w:val="0"/>
          <w:bCs w:val="0"/>
          <w:color w:val="auto"/>
          <w:kern w:val="2"/>
          <w:sz w:val="32"/>
          <w:szCs w:val="32"/>
          <w:u w:val="none"/>
          <w:lang w:eastAsia="zh-CN"/>
        </w:rPr>
        <w:t>）</w:t>
      </w:r>
      <w:r>
        <w:rPr>
          <w:rFonts w:hint="default" w:ascii="Times New Roman" w:hAnsi="Times New Roman" w:eastAsia="仿宋_GB2312" w:cs="Times New Roman"/>
          <w:b w:val="0"/>
          <w:bCs w:val="0"/>
          <w:color w:val="auto"/>
          <w:kern w:val="2"/>
          <w:sz w:val="32"/>
          <w:szCs w:val="32"/>
          <w:u w:val="none"/>
        </w:rPr>
        <w:t>株洲市工业和信息化局办公区域及停车区域监控系统安装；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rPr>
      </w:pPr>
      <w:r>
        <w:rPr>
          <w:rFonts w:hint="eastAsia" w:ascii="Times New Roman" w:hAnsi="Times New Roman" w:eastAsia="仿宋_GB2312" w:cs="Times New Roman"/>
          <w:b w:val="0"/>
          <w:bCs w:val="0"/>
          <w:color w:val="auto"/>
          <w:kern w:val="2"/>
          <w:sz w:val="32"/>
          <w:szCs w:val="32"/>
          <w:u w:val="none"/>
          <w:lang w:eastAsia="zh-CN"/>
        </w:rPr>
        <w:t>（</w:t>
      </w:r>
      <w:r>
        <w:rPr>
          <w:rFonts w:hint="eastAsia" w:ascii="Times New Roman" w:hAnsi="Times New Roman" w:eastAsia="仿宋_GB2312" w:cs="Times New Roman"/>
          <w:b w:val="0"/>
          <w:bCs w:val="0"/>
          <w:color w:val="auto"/>
          <w:kern w:val="2"/>
          <w:sz w:val="32"/>
          <w:szCs w:val="32"/>
          <w:u w:val="none"/>
          <w:lang w:val="en-US" w:eastAsia="zh-CN"/>
        </w:rPr>
        <w:t>四</w:t>
      </w:r>
      <w:r>
        <w:rPr>
          <w:rFonts w:hint="eastAsia" w:ascii="Times New Roman" w:hAnsi="Times New Roman" w:eastAsia="仿宋_GB2312" w:cs="Times New Roman"/>
          <w:b w:val="0"/>
          <w:bCs w:val="0"/>
          <w:color w:val="auto"/>
          <w:kern w:val="2"/>
          <w:sz w:val="32"/>
          <w:szCs w:val="32"/>
          <w:u w:val="none"/>
          <w:lang w:eastAsia="zh-CN"/>
        </w:rPr>
        <w:t>）</w:t>
      </w:r>
      <w:r>
        <w:rPr>
          <w:rFonts w:hint="default" w:ascii="Times New Roman" w:hAnsi="Times New Roman" w:eastAsia="仿宋_GB2312" w:cs="Times New Roman"/>
          <w:b w:val="0"/>
          <w:bCs w:val="0"/>
          <w:color w:val="auto"/>
          <w:kern w:val="2"/>
          <w:sz w:val="32"/>
          <w:szCs w:val="32"/>
          <w:u w:val="none"/>
        </w:rPr>
        <w:t xml:space="preserve">会议室改造：包含空间、电气、空调系统等改造。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rPr>
      </w:pPr>
      <w:r>
        <w:rPr>
          <w:rFonts w:hint="eastAsia" w:ascii="Times New Roman" w:hAnsi="Times New Roman" w:eastAsia="仿宋_GB2312" w:cs="Times New Roman"/>
          <w:b w:val="0"/>
          <w:bCs w:val="0"/>
          <w:color w:val="auto"/>
          <w:kern w:val="2"/>
          <w:sz w:val="32"/>
          <w:szCs w:val="32"/>
          <w:u w:val="none"/>
          <w:lang w:val="en-US" w:eastAsia="zh-CN"/>
        </w:rPr>
        <w:t>2024年完成以上全部改造内容并正常投入使用，</w:t>
      </w:r>
      <w:r>
        <w:rPr>
          <w:rFonts w:hint="eastAsia" w:ascii="Times New Roman" w:hAnsi="Times New Roman" w:eastAsia="仿宋_GB2312" w:cs="Times New Roman"/>
          <w:b w:val="0"/>
          <w:bCs w:val="0"/>
          <w:color w:val="auto"/>
          <w:kern w:val="2"/>
          <w:sz w:val="32"/>
          <w:szCs w:val="32"/>
          <w:u w:val="none"/>
          <w:lang w:eastAsia="zh-CN"/>
        </w:rPr>
        <w:t>满足了局内日常信息化办公需求，打造出方便、快捷、高效的办公环境，同时进一步提升信息化政务管理水平，实现政务工作的智能化、信息化、科技化。</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lang w:eastAsia="zh-CN"/>
        </w:rPr>
        <w:sectPr>
          <w:footerReference r:id="rId4" w:type="default"/>
          <w:pgSz w:w="11906" w:h="16838"/>
          <w:pgMar w:top="1984" w:right="1531" w:bottom="1701" w:left="1531" w:header="851" w:footer="1588" w:gutter="0"/>
          <w:cols w:space="720" w:num="1"/>
          <w:docGrid w:linePitch="312" w:charSpace="0"/>
        </w:sectPr>
      </w:pPr>
    </w:p>
    <w:p>
      <w:pPr>
        <w:keepNext w:val="0"/>
        <w:keepLines w:val="0"/>
        <w:pageBreakBefore w:val="0"/>
        <w:widowControl w:val="0"/>
        <w:kinsoku/>
        <w:wordWrap/>
        <w:overflowPunct/>
        <w:topLinePunct w:val="0"/>
        <w:autoSpaceDE/>
        <w:autoSpaceDN/>
        <w:bidi w:val="0"/>
        <w:spacing w:line="579" w:lineRule="exact"/>
        <w:jc w:val="center"/>
        <w:textAlignment w:val="auto"/>
        <w:rPr>
          <w:rFonts w:hint="default" w:ascii="Times New Roman" w:hAnsi="Times New Roman" w:eastAsia="方正小标宋简体" w:cs="Times New Roman"/>
          <w:color w:val="000000"/>
          <w:kern w:val="0"/>
          <w:sz w:val="41"/>
          <w:szCs w:val="41"/>
          <w:highlight w:val="none"/>
          <w:lang w:bidi="ar"/>
        </w:rPr>
      </w:pPr>
      <w:r>
        <w:rPr>
          <w:rFonts w:hint="default" w:ascii="Times New Roman" w:hAnsi="Times New Roman" w:eastAsia="方正小标宋简体" w:cs="Times New Roman"/>
          <w:color w:val="000000"/>
          <w:kern w:val="0"/>
          <w:sz w:val="41"/>
          <w:szCs w:val="41"/>
          <w:highlight w:val="none"/>
          <w:lang w:bidi="ar"/>
        </w:rPr>
        <w:t>202</w:t>
      </w:r>
      <w:r>
        <w:rPr>
          <w:rFonts w:hint="eastAsia" w:ascii="Times New Roman" w:hAnsi="Times New Roman" w:eastAsia="方正小标宋简体" w:cs="Times New Roman"/>
          <w:color w:val="000000"/>
          <w:kern w:val="0"/>
          <w:sz w:val="41"/>
          <w:szCs w:val="41"/>
          <w:highlight w:val="none"/>
          <w:lang w:val="en-US" w:eastAsia="zh-CN" w:bidi="ar"/>
        </w:rPr>
        <w:t>4</w:t>
      </w:r>
      <w:r>
        <w:rPr>
          <w:rFonts w:hint="default" w:ascii="Times New Roman" w:hAnsi="Times New Roman" w:eastAsia="方正小标宋简体" w:cs="Times New Roman"/>
          <w:color w:val="000000"/>
          <w:kern w:val="0"/>
          <w:sz w:val="41"/>
          <w:szCs w:val="41"/>
          <w:highlight w:val="none"/>
          <w:lang w:bidi="ar"/>
        </w:rPr>
        <w:t>年度项目支出绩效自评表</w:t>
      </w:r>
    </w:p>
    <w:tbl>
      <w:tblPr>
        <w:tblStyle w:val="22"/>
        <w:tblW w:w="9839" w:type="dxa"/>
        <w:jc w:val="center"/>
        <w:tblLayout w:type="autofit"/>
        <w:tblCellMar>
          <w:top w:w="0" w:type="dxa"/>
          <w:left w:w="108" w:type="dxa"/>
          <w:bottom w:w="0" w:type="dxa"/>
          <w:right w:w="108" w:type="dxa"/>
        </w:tblCellMar>
      </w:tblPr>
      <w:tblGrid>
        <w:gridCol w:w="1077"/>
        <w:gridCol w:w="1077"/>
        <w:gridCol w:w="1079"/>
        <w:gridCol w:w="1222"/>
        <w:gridCol w:w="1135"/>
        <w:gridCol w:w="1132"/>
        <w:gridCol w:w="826"/>
        <w:gridCol w:w="871"/>
        <w:gridCol w:w="1420"/>
      </w:tblGrid>
      <w:tr>
        <w:tblPrEx>
          <w:tblCellMar>
            <w:top w:w="0" w:type="dxa"/>
            <w:left w:w="108" w:type="dxa"/>
            <w:bottom w:w="0" w:type="dxa"/>
            <w:right w:w="108" w:type="dxa"/>
          </w:tblCellMar>
        </w:tblPrEx>
        <w:trPr>
          <w:trHeight w:val="582"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62"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val="en-US" w:eastAsia="zh-CN"/>
              </w:rPr>
              <w:t>市工信局2023年信息化改造项目结转资金</w:t>
            </w:r>
          </w:p>
        </w:tc>
      </w:tr>
      <w:tr>
        <w:tblPrEx>
          <w:tblCellMar>
            <w:top w:w="0" w:type="dxa"/>
            <w:left w:w="108" w:type="dxa"/>
            <w:bottom w:w="0" w:type="dxa"/>
            <w:right w:w="108" w:type="dxa"/>
          </w:tblCellMar>
        </w:tblPrEx>
        <w:trPr>
          <w:trHeight w:val="398" w:hRule="atLeast"/>
          <w:jc w:val="center"/>
        </w:trPr>
        <w:tc>
          <w:tcPr>
            <w:tcW w:w="107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51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株洲市工业和信息化局</w:t>
            </w:r>
          </w:p>
        </w:tc>
        <w:tc>
          <w:tcPr>
            <w:tcW w:w="1132"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eastAsia"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株洲市工业和信息化局</w:t>
            </w:r>
            <w:r>
              <w:rPr>
                <w:rFonts w:hint="eastAsia" w:ascii="Times New Roman" w:hAnsi="Times New Roman" w:eastAsia="仿宋_GB2312" w:cs="Times New Roman"/>
                <w:color w:val="000000"/>
                <w:sz w:val="20"/>
                <w:szCs w:val="20"/>
                <w:highlight w:val="none"/>
                <w:lang w:eastAsia="zh-CN"/>
              </w:rPr>
              <w:t>机关</w:t>
            </w:r>
          </w:p>
        </w:tc>
      </w:tr>
      <w:tr>
        <w:tblPrEx>
          <w:tblCellMar>
            <w:top w:w="0" w:type="dxa"/>
            <w:left w:w="108" w:type="dxa"/>
            <w:bottom w:w="0" w:type="dxa"/>
            <w:right w:w="108" w:type="dxa"/>
          </w:tblCellMar>
        </w:tblPrEx>
        <w:trPr>
          <w:trHeight w:val="554"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（万元）</w:t>
            </w:r>
          </w:p>
        </w:tc>
        <w:tc>
          <w:tcPr>
            <w:tcW w:w="2156"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tblPrEx>
          <w:tblCellMar>
            <w:top w:w="0" w:type="dxa"/>
            <w:left w:w="108" w:type="dxa"/>
            <w:bottom w:w="0" w:type="dxa"/>
            <w:right w:w="108" w:type="dxa"/>
          </w:tblCellMar>
        </w:tblPrEx>
        <w:trPr>
          <w:trHeight w:val="460"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2156"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仿宋_GB2312" w:cs="Times New Roman"/>
                <w:color w:val="000000"/>
                <w:sz w:val="20"/>
                <w:szCs w:val="20"/>
                <w:highlight w:val="none"/>
                <w:lang w:eastAsia="zh-CN"/>
              </w:rPr>
            </w:pP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422"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2156"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80.96</w:t>
            </w: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80.96</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80.96</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324"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2156"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324" w:hRule="atLeast"/>
          <w:jc w:val="center"/>
        </w:trPr>
        <w:tc>
          <w:tcPr>
            <w:tcW w:w="1077"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2156"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kern w:val="2"/>
                <w:sz w:val="20"/>
                <w:szCs w:val="20"/>
                <w:highlight w:val="none"/>
                <w:lang w:val="en-US" w:eastAsia="zh-CN" w:bidi="ar-SA"/>
              </w:rPr>
              <w:t>80.96</w:t>
            </w: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80.96</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80.96</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10</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100%</w:t>
            </w: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10</w:t>
            </w:r>
          </w:p>
        </w:tc>
      </w:tr>
      <w:tr>
        <w:tblPrEx>
          <w:tblCellMar>
            <w:top w:w="0" w:type="dxa"/>
            <w:left w:w="108" w:type="dxa"/>
            <w:bottom w:w="0" w:type="dxa"/>
            <w:right w:w="108" w:type="dxa"/>
          </w:tblCellMar>
        </w:tblPrEx>
        <w:trPr>
          <w:trHeight w:val="386"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51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24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tblPrEx>
          <w:tblCellMar>
            <w:top w:w="0" w:type="dxa"/>
            <w:left w:w="108" w:type="dxa"/>
            <w:bottom w:w="0" w:type="dxa"/>
            <w:right w:w="108" w:type="dxa"/>
          </w:tblCellMar>
        </w:tblPrEx>
        <w:trPr>
          <w:trHeight w:val="1018"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451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both"/>
              <w:textAlignment w:val="auto"/>
              <w:rPr>
                <w:rFonts w:hint="eastAsia"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对株洲市工业和信息化局信息化系统进行改造</w:t>
            </w:r>
            <w:r>
              <w:rPr>
                <w:rFonts w:hint="eastAsia" w:ascii="Times New Roman" w:hAnsi="Times New Roman" w:eastAsia="仿宋_GB2312" w:cs="Times New Roman"/>
                <w:color w:val="000000"/>
                <w:sz w:val="20"/>
                <w:szCs w:val="20"/>
                <w:highlight w:val="none"/>
                <w:lang w:eastAsia="zh-CN"/>
              </w:rPr>
              <w:t>。</w:t>
            </w:r>
          </w:p>
        </w:tc>
        <w:tc>
          <w:tcPr>
            <w:tcW w:w="424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2024年完成全部改造内容</w:t>
            </w:r>
            <w:r>
              <w:rPr>
                <w:rFonts w:hint="eastAsia" w:ascii="Times New Roman" w:hAnsi="Times New Roman" w:eastAsia="仿宋_GB2312" w:cs="Times New Roman"/>
                <w:color w:val="000000"/>
                <w:sz w:val="20"/>
                <w:szCs w:val="20"/>
                <w:highlight w:val="none"/>
                <w:lang w:val="en-US" w:eastAsia="zh-CN"/>
              </w:rPr>
              <w:t>，</w:t>
            </w:r>
            <w:r>
              <w:rPr>
                <w:rFonts w:hint="default" w:ascii="Times New Roman" w:hAnsi="Times New Roman" w:eastAsia="仿宋_GB2312" w:cs="Times New Roman"/>
                <w:color w:val="000000"/>
                <w:sz w:val="20"/>
                <w:szCs w:val="20"/>
                <w:highlight w:val="none"/>
                <w:lang w:val="en-US" w:eastAsia="zh-CN"/>
              </w:rPr>
              <w:t>并正常投入使用</w:t>
            </w:r>
            <w:r>
              <w:rPr>
                <w:rFonts w:hint="default" w:ascii="Times New Roman" w:hAnsi="Times New Roman" w:eastAsia="仿宋_GB2312" w:cs="Times New Roman"/>
                <w:color w:val="000000"/>
                <w:sz w:val="20"/>
                <w:szCs w:val="20"/>
                <w:highlight w:val="none"/>
              </w:rPr>
              <w:t>。</w:t>
            </w:r>
          </w:p>
        </w:tc>
      </w:tr>
      <w:tr>
        <w:tblPrEx>
          <w:tblCellMar>
            <w:top w:w="0" w:type="dxa"/>
            <w:left w:w="108" w:type="dxa"/>
            <w:bottom w:w="0" w:type="dxa"/>
            <w:right w:w="108" w:type="dxa"/>
          </w:tblCellMar>
        </w:tblPrEx>
        <w:trPr>
          <w:trHeight w:val="588" w:hRule="atLeast"/>
          <w:jc w:val="center"/>
        </w:trPr>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及改进措施</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（40分）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招标文件详细参数要求</w:t>
            </w: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=100%</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100%</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15</w:t>
            </w: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招标文件响应要求</w:t>
            </w: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=100%</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100%</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15</w:t>
            </w: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合同规定时间履约</w:t>
            </w: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=100%</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100%</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10</w:t>
            </w: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经济效</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节约三公经费</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三公经费较去年减少</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三公经费较去年减少</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10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提高会务、活动质效</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会务、活动质效明显提升</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会务、活动质效明显提升</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5</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5</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生态效</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使用环保达标产品</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所有产品环保达标</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所有产品环保达标</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5</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5</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509"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41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使用对象满意度</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东文宋体" w:cs="Times New Roman"/>
                <w:color w:val="000000"/>
                <w:sz w:val="20"/>
                <w:szCs w:val="20"/>
                <w:highlight w:val="none"/>
                <w:lang w:val="en-US" w:eastAsia="zh-CN"/>
              </w:rPr>
            </w:pPr>
            <w:r>
              <w:rPr>
                <w:rFonts w:hint="eastAsia" w:ascii="东文宋体" w:hAnsi="东文宋体" w:eastAsia="东文宋体" w:cs="东文宋体"/>
                <w:color w:val="000000"/>
                <w:sz w:val="20"/>
                <w:szCs w:val="20"/>
                <w:highlight w:val="none"/>
              </w:rPr>
              <w:t>≥</w:t>
            </w:r>
            <w:r>
              <w:rPr>
                <w:rFonts w:hint="eastAsia" w:ascii="Times New Roman" w:hAnsi="Times New Roman" w:eastAsia="仿宋_GB2312" w:cs="Times New Roman"/>
                <w:color w:val="000000"/>
                <w:sz w:val="20"/>
                <w:szCs w:val="20"/>
                <w:highlight w:val="none"/>
                <w:lang w:val="en-US" w:eastAsia="zh-CN"/>
              </w:rPr>
              <w:t>90%</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92%</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10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531"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经济成本指标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及时支付合同尾款</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=100%</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100%</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10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社会成本指标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项目正常运行</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=100%</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100%</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10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生态环境成本指标</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w:t>
            </w:r>
          </w:p>
        </w:tc>
        <w:tc>
          <w:tcPr>
            <w:tcW w:w="11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w:t>
            </w:r>
          </w:p>
        </w:tc>
        <w:tc>
          <w:tcPr>
            <w:tcW w:w="11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w:t>
            </w:r>
          </w:p>
        </w:tc>
        <w:tc>
          <w:tcPr>
            <w:tcW w:w="8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w:t>
            </w:r>
          </w:p>
        </w:tc>
        <w:tc>
          <w:tcPr>
            <w:tcW w:w="14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307" w:hRule="atLeast"/>
          <w:jc w:val="center"/>
        </w:trPr>
        <w:tc>
          <w:tcPr>
            <w:tcW w:w="672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r>
    </w:tbl>
    <w:p>
      <w:pPr>
        <w:keepNext w:val="0"/>
        <w:keepLines w:val="0"/>
        <w:pageBreakBefore w:val="0"/>
        <w:widowControl w:val="0"/>
        <w:tabs>
          <w:tab w:val="left" w:pos="7560"/>
        </w:tabs>
        <w:kinsoku/>
        <w:wordWrap/>
        <w:overflowPunct/>
        <w:topLinePunct w:val="0"/>
        <w:autoSpaceDE/>
        <w:autoSpaceDN/>
        <w:bidi w:val="0"/>
        <w:adjustRightInd w:val="0"/>
        <w:snapToGrid w:val="0"/>
        <w:spacing w:line="40" w:lineRule="exact"/>
        <w:jc w:val="left"/>
        <w:textAlignment w:val="auto"/>
        <w:rPr>
          <w:rFonts w:hint="default" w:ascii="Times New Roman" w:hAnsi="Times New Roman" w:eastAsia="仿宋_GB2312" w:cs="Times New Roman"/>
          <w:sz w:val="28"/>
          <w:szCs w:val="28"/>
          <w:highlight w:val="none"/>
        </w:rPr>
      </w:pP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仿宋_GB2312" w:cs="Times New Roman"/>
          <w:sz w:val="28"/>
          <w:szCs w:val="28"/>
        </w:rPr>
        <w:br w:type="page"/>
      </w:r>
      <w:r>
        <w:rPr>
          <w:rFonts w:hint="default" w:ascii="Times New Roman" w:hAnsi="Times New Roman" w:eastAsia="方正小标宋简体" w:cs="Times New Roman"/>
          <w:color w:val="000000"/>
          <w:kern w:val="0"/>
          <w:sz w:val="41"/>
          <w:szCs w:val="41"/>
          <w:lang w:val="en-US" w:eastAsia="zh-CN" w:bidi="ar"/>
        </w:rPr>
        <w:t>央企对接现场会相关经费</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1"/>
          <w:szCs w:val="41"/>
          <w:lang w:val="en-US" w:eastAsia="zh-CN" w:bidi="ar"/>
        </w:rPr>
        <w:t>绩效自评报告</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eastAsia="黑体" w:cs="Times New Roman"/>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一、预算收支出情况</w:t>
      </w:r>
      <w:r>
        <w:rPr>
          <w:rFonts w:hint="default" w:ascii="Times New Roman" w:hAnsi="Times New Roman" w:eastAsia="楷体" w:cs="Times New Roman"/>
          <w:b/>
          <w:bCs/>
          <w:color w:val="000000"/>
          <w:kern w:val="0"/>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0"/>
          <w:sz w:val="32"/>
          <w:szCs w:val="32"/>
          <w:highlight w:val="none"/>
          <w:lang w:bidi="ar"/>
        </w:rPr>
        <w:t>2024年预算</w:t>
      </w:r>
      <w:r>
        <w:rPr>
          <w:rFonts w:hint="default" w:ascii="Times New Roman" w:hAnsi="Times New Roman" w:eastAsia="仿宋_GB2312" w:cs="Times New Roman"/>
          <w:color w:val="000000"/>
          <w:kern w:val="0"/>
          <w:sz w:val="32"/>
          <w:szCs w:val="32"/>
          <w:lang w:val="en-US" w:eastAsia="zh-CN" w:bidi="ar"/>
        </w:rPr>
        <w:t>4.94</w:t>
      </w:r>
      <w:r>
        <w:rPr>
          <w:rFonts w:hint="default" w:ascii="Times New Roman" w:hAnsi="Times New Roman" w:eastAsia="仿宋_GB2312" w:cs="Times New Roman"/>
          <w:b w:val="0"/>
          <w:bCs w:val="0"/>
          <w:color w:val="000000"/>
          <w:kern w:val="0"/>
          <w:sz w:val="32"/>
          <w:szCs w:val="32"/>
          <w:highlight w:val="none"/>
          <w:lang w:bidi="ar"/>
        </w:rPr>
        <w:t>万元</w:t>
      </w:r>
      <w:r>
        <w:rPr>
          <w:rFonts w:hint="eastAsia" w:ascii="Times New Roman" w:hAnsi="Times New Roman" w:eastAsia="仿宋_GB2312" w:cs="Times New Roman"/>
          <w:b w:val="0"/>
          <w:bCs w:val="0"/>
          <w:color w:val="000000"/>
          <w:kern w:val="0"/>
          <w:sz w:val="32"/>
          <w:szCs w:val="32"/>
          <w:highlight w:val="none"/>
          <w:lang w:eastAsia="zh-CN" w:bidi="ar"/>
        </w:rPr>
        <w:t>，</w:t>
      </w:r>
      <w:r>
        <w:rPr>
          <w:rFonts w:hint="default" w:ascii="Times New Roman" w:hAnsi="Times New Roman" w:eastAsia="仿宋_GB2312" w:cs="Times New Roman"/>
          <w:b w:val="0"/>
          <w:bCs w:val="0"/>
          <w:color w:val="000000"/>
          <w:kern w:val="0"/>
          <w:sz w:val="32"/>
          <w:szCs w:val="32"/>
          <w:highlight w:val="none"/>
          <w:lang w:bidi="ar"/>
        </w:rPr>
        <w:t>其中年初预算</w:t>
      </w:r>
      <w:r>
        <w:rPr>
          <w:rFonts w:hint="eastAsia" w:ascii="Times New Roman" w:hAnsi="Times New Roman" w:eastAsia="仿宋_GB2312" w:cs="Times New Roman"/>
          <w:b w:val="0"/>
          <w:bCs w:val="0"/>
          <w:color w:val="000000"/>
          <w:kern w:val="0"/>
          <w:sz w:val="32"/>
          <w:szCs w:val="32"/>
          <w:highlight w:val="none"/>
          <w:lang w:val="en-US" w:eastAsia="zh-CN" w:bidi="ar"/>
        </w:rPr>
        <w:t>6</w:t>
      </w:r>
      <w:r>
        <w:rPr>
          <w:rFonts w:hint="default" w:ascii="Times New Roman" w:hAnsi="Times New Roman" w:eastAsia="仿宋_GB2312" w:cs="Times New Roman"/>
          <w:b w:val="0"/>
          <w:bCs w:val="0"/>
          <w:color w:val="000000"/>
          <w:kern w:val="0"/>
          <w:sz w:val="32"/>
          <w:szCs w:val="32"/>
          <w:highlight w:val="none"/>
          <w:lang w:bidi="ar"/>
        </w:rPr>
        <w:t>万元，实际支出</w:t>
      </w:r>
      <w:r>
        <w:rPr>
          <w:rFonts w:hint="default" w:ascii="Times New Roman" w:hAnsi="Times New Roman" w:eastAsia="仿宋_GB2312" w:cs="Times New Roman"/>
          <w:color w:val="000000"/>
          <w:kern w:val="0"/>
          <w:sz w:val="32"/>
          <w:szCs w:val="32"/>
          <w:lang w:val="en-US" w:eastAsia="zh-CN" w:bidi="ar"/>
        </w:rPr>
        <w:t>4.94</w:t>
      </w:r>
      <w:r>
        <w:rPr>
          <w:rFonts w:hint="default" w:ascii="Times New Roman" w:hAnsi="Times New Roman" w:eastAsia="仿宋_GB2312" w:cs="Times New Roman"/>
          <w:b w:val="0"/>
          <w:bCs w:val="0"/>
          <w:color w:val="000000"/>
          <w:kern w:val="0"/>
          <w:sz w:val="32"/>
          <w:szCs w:val="32"/>
          <w:highlight w:val="none"/>
          <w:lang w:bidi="ar"/>
        </w:rPr>
        <w:t xml:space="preserve">万元。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二、项目支出绩效情况</w:t>
      </w:r>
      <w:r>
        <w:rPr>
          <w:rFonts w:hint="default" w:ascii="Times New Roman" w:hAnsi="Times New Roman" w:eastAsia="楷体" w:cs="Times New Roman"/>
          <w:b/>
          <w:bCs/>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年，央企对接现场会经费支出</w:t>
      </w:r>
      <w:r>
        <w:rPr>
          <w:rFonts w:hint="eastAsia" w:ascii="Times New Roman" w:hAnsi="Times New Roman" w:eastAsia="仿宋_GB2312" w:cs="Times New Roman"/>
          <w:color w:val="000000"/>
          <w:kern w:val="0"/>
          <w:sz w:val="32"/>
          <w:szCs w:val="32"/>
          <w:lang w:val="en-US" w:eastAsia="zh-CN" w:bidi="ar"/>
        </w:rPr>
        <w:t>4.94万</w:t>
      </w:r>
      <w:r>
        <w:rPr>
          <w:rFonts w:hint="default" w:ascii="Times New Roman" w:hAnsi="Times New Roman" w:eastAsia="仿宋_GB2312" w:cs="Times New Roman"/>
          <w:color w:val="000000"/>
          <w:kern w:val="0"/>
          <w:sz w:val="32"/>
          <w:szCs w:val="32"/>
          <w:lang w:val="en-US" w:eastAsia="zh-CN" w:bidi="ar"/>
        </w:rPr>
        <w:t>元，主要用于</w:t>
      </w:r>
      <w:r>
        <w:rPr>
          <w:rFonts w:hint="eastAsia" w:ascii="Times New Roman" w:hAnsi="Times New Roman" w:eastAsia="仿宋_GB2312" w:cs="Times New Roman"/>
          <w:color w:val="000000"/>
          <w:kern w:val="0"/>
          <w:sz w:val="32"/>
          <w:szCs w:val="32"/>
          <w:lang w:val="en-US" w:eastAsia="zh-CN" w:bidi="ar"/>
        </w:rPr>
        <w:t>制作</w:t>
      </w:r>
      <w:r>
        <w:rPr>
          <w:rFonts w:hint="default" w:ascii="Times New Roman" w:hAnsi="Times New Roman" w:eastAsia="仿宋_GB2312" w:cs="Times New Roman"/>
          <w:color w:val="000000"/>
          <w:kern w:val="0"/>
          <w:sz w:val="32"/>
          <w:szCs w:val="32"/>
          <w:lang w:val="en-US" w:eastAsia="zh-CN" w:bidi="ar"/>
        </w:rPr>
        <w:t>国务院国资委国企改革深化提升行动现场推进会和湖南省与央企对接座谈会</w:t>
      </w:r>
      <w:r>
        <w:rPr>
          <w:rFonts w:hint="eastAsia" w:ascii="Times New Roman" w:hAnsi="Times New Roman" w:eastAsia="仿宋_GB2312" w:cs="Times New Roman"/>
          <w:color w:val="000000"/>
          <w:kern w:val="0"/>
          <w:sz w:val="32"/>
          <w:szCs w:val="32"/>
          <w:lang w:val="en-US" w:eastAsia="zh-CN" w:bidi="ar"/>
        </w:rPr>
        <w:t>会议现场的宣传展板（规格为规格为22.8m*3.4m），以及制作国省专精特新小巨人宣传画册</w:t>
      </w:r>
      <w:r>
        <w:rPr>
          <w:rFonts w:hint="default" w:ascii="Times New Roman" w:hAnsi="Times New Roman" w:eastAsia="仿宋_GB2312" w:cs="Times New Roman"/>
          <w:color w:val="000000"/>
          <w:kern w:val="0"/>
          <w:sz w:val="32"/>
          <w:szCs w:val="32"/>
          <w:lang w:val="en-US" w:eastAsia="zh-CN" w:bidi="ar"/>
        </w:rPr>
        <w:t>。项目实施及绩效情况如下：</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2024年</w:t>
      </w:r>
      <w:r>
        <w:rPr>
          <w:rFonts w:hint="default" w:ascii="Times New Roman" w:hAnsi="Times New Roman" w:eastAsia="仿宋_GB2312" w:cs="Times New Roman"/>
          <w:color w:val="000000"/>
          <w:kern w:val="0"/>
          <w:sz w:val="32"/>
          <w:szCs w:val="32"/>
          <w:lang w:val="en-US" w:eastAsia="zh-CN" w:bidi="ar"/>
        </w:rPr>
        <w:t>4月28日，国务院国资委国企改革深化提升行动现场推进会和湖南省与央企对接座谈会在株洲举办，30家一级央企参与，国务院国资委和湖南省政府相关领导出席。</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楷体_GB2312" w:cs="Times New Roman"/>
          <w:b/>
          <w:bCs/>
          <w:sz w:val="32"/>
          <w:szCs w:val="32"/>
          <w:rtl w:val="0"/>
          <w:lang w:val="en-US" w:eastAsia="zh-CN"/>
        </w:rPr>
        <w:t>（一）</w:t>
      </w:r>
      <w:r>
        <w:rPr>
          <w:rFonts w:hint="default" w:ascii="Times New Roman" w:hAnsi="Times New Roman" w:eastAsia="楷体_GB2312" w:cs="Times New Roman"/>
          <w:b/>
          <w:bCs/>
          <w:sz w:val="32"/>
          <w:szCs w:val="32"/>
          <w:rtl w:val="0"/>
          <w:lang w:val="en-US" w:eastAsia="zh-CN"/>
        </w:rPr>
        <w:t>推动项目洽谈与合作</w:t>
      </w:r>
      <w:r>
        <w:rPr>
          <w:rFonts w:hint="eastAsia" w:ascii="Times New Roman" w:hAnsi="Times New Roman" w:eastAsia="楷体_GB2312" w:cs="Times New Roman"/>
          <w:b/>
          <w:bCs/>
          <w:sz w:val="32"/>
          <w:szCs w:val="32"/>
          <w:rtl w:val="0"/>
          <w:lang w:val="en-US" w:eastAsia="zh-CN"/>
        </w:rPr>
        <w:t>。</w:t>
      </w:r>
      <w:r>
        <w:rPr>
          <w:rFonts w:hint="default" w:ascii="Times New Roman" w:hAnsi="Times New Roman" w:eastAsia="仿宋_GB2312" w:cs="Times New Roman"/>
          <w:color w:val="000000"/>
          <w:kern w:val="0"/>
          <w:sz w:val="32"/>
          <w:szCs w:val="32"/>
          <w:lang w:val="en-US" w:eastAsia="zh-CN" w:bidi="ar"/>
        </w:rPr>
        <w:t>通过国企改革现场推进会、央企对接座谈会和“一对一”的对接洽谈多种方式，共进行了20余次不同形式的交流对接会，促成了55个重点项目的洽谈，涉及21家央企，涵盖多个领域和行业，为后续项目合作与落地奠定了坚实基础。</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楷体_GB2312" w:cs="Times New Roman"/>
          <w:b/>
          <w:bCs/>
          <w:sz w:val="32"/>
          <w:szCs w:val="32"/>
          <w:rtl w:val="0"/>
          <w:lang w:val="en-US" w:eastAsia="zh-CN"/>
        </w:rPr>
        <w:t>（二）</w:t>
      </w:r>
      <w:r>
        <w:rPr>
          <w:rFonts w:hint="default" w:ascii="Times New Roman" w:hAnsi="Times New Roman" w:eastAsia="楷体_GB2312" w:cs="Times New Roman"/>
          <w:b/>
          <w:bCs/>
          <w:sz w:val="32"/>
          <w:szCs w:val="32"/>
          <w:rtl w:val="0"/>
          <w:lang w:val="en-US" w:eastAsia="zh-CN"/>
        </w:rPr>
        <w:t>促进央地交流与合作共识</w:t>
      </w:r>
      <w:r>
        <w:rPr>
          <w:rFonts w:hint="eastAsia" w:ascii="Times New Roman" w:hAnsi="Times New Roman" w:eastAsia="楷体_GB2312" w:cs="Times New Roman"/>
          <w:b/>
          <w:bCs/>
          <w:sz w:val="32"/>
          <w:szCs w:val="32"/>
          <w:rtl w:val="0"/>
          <w:lang w:val="en-US" w:eastAsia="zh-CN"/>
        </w:rPr>
        <w:t>。</w:t>
      </w:r>
      <w:r>
        <w:rPr>
          <w:rFonts w:hint="default" w:ascii="Times New Roman" w:hAnsi="Times New Roman" w:eastAsia="仿宋_GB2312" w:cs="Times New Roman"/>
          <w:color w:val="000000"/>
          <w:kern w:val="0"/>
          <w:sz w:val="32"/>
          <w:szCs w:val="32"/>
          <w:lang w:val="en-US" w:eastAsia="zh-CN" w:bidi="ar"/>
        </w:rPr>
        <w:t>在湖南省与央企对接座谈会上，中国中车、电子科技集团等多家央企负责人表达了与湖南进一步拓展合作空间、扩大合作规模的意愿，围绕增强创新能力、加强产业联动、加快培育新质生产力等提出意见建议。各参会央企和地方代表面对面坦诚沟通，共话发展、畅谈感想、建言献策，为开展更多领域、更深层次、更高水平的合作形成了诸多共识。</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楷体_GB2312" w:cs="Times New Roman"/>
          <w:b/>
          <w:bCs/>
          <w:sz w:val="32"/>
          <w:szCs w:val="32"/>
          <w:rtl w:val="0"/>
          <w:lang w:val="en-US" w:eastAsia="zh-CN"/>
        </w:rPr>
        <w:t>（三）</w:t>
      </w:r>
      <w:r>
        <w:rPr>
          <w:rFonts w:hint="default" w:ascii="Times New Roman" w:hAnsi="Times New Roman" w:eastAsia="楷体_GB2312" w:cs="Times New Roman"/>
          <w:b/>
          <w:bCs/>
          <w:sz w:val="32"/>
          <w:szCs w:val="32"/>
          <w:rtl w:val="0"/>
          <w:lang w:val="en-US" w:eastAsia="zh-CN"/>
        </w:rPr>
        <w:t>扩大株洲影响力</w:t>
      </w:r>
      <w:r>
        <w:rPr>
          <w:rFonts w:hint="eastAsia" w:ascii="Times New Roman" w:hAnsi="Times New Roman" w:eastAsia="楷体_GB2312" w:cs="Times New Roman"/>
          <w:b/>
          <w:bCs/>
          <w:sz w:val="32"/>
          <w:szCs w:val="32"/>
          <w:rtl w:val="0"/>
          <w:lang w:val="en-US" w:eastAsia="zh-CN"/>
        </w:rPr>
        <w:t>。</w:t>
      </w:r>
      <w:r>
        <w:rPr>
          <w:rFonts w:hint="default" w:ascii="Times New Roman" w:hAnsi="Times New Roman" w:eastAsia="仿宋_GB2312" w:cs="Times New Roman"/>
          <w:color w:val="000000"/>
          <w:kern w:val="0"/>
          <w:sz w:val="32"/>
          <w:szCs w:val="32"/>
          <w:lang w:val="en-US" w:eastAsia="zh-CN" w:bidi="ar"/>
        </w:rPr>
        <w:t>两个会议的成功举办得到了广泛关注和报道，进一步扩大了株洲的影响力和传播范围，展示了“幸福株洲・制造名城”的良好形象。</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大标宋简体" w:cs="Times New Roman"/>
          <w:color w:val="000000"/>
          <w:sz w:val="32"/>
          <w:szCs w:val="32"/>
        </w:rPr>
        <w:sectPr>
          <w:footerReference r:id="rId5" w:type="default"/>
          <w:pgSz w:w="11906" w:h="16838"/>
          <w:pgMar w:top="1984" w:right="1531" w:bottom="1701" w:left="1531" w:header="851" w:footer="1588" w:gutter="0"/>
          <w:cols w:space="720" w:num="1"/>
          <w:docGrid w:linePitch="312" w:charSpace="0"/>
        </w:sectPr>
      </w:pPr>
    </w:p>
    <w:p>
      <w:pPr>
        <w:keepNext w:val="0"/>
        <w:keepLines w:val="0"/>
        <w:pageBreakBefore w:val="0"/>
        <w:widowControl w:val="0"/>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202</w:t>
      </w:r>
      <w:r>
        <w:rPr>
          <w:rFonts w:hint="eastAsia" w:ascii="Times New Roman" w:hAnsi="Times New Roman" w:eastAsia="方正小标宋简体" w:cs="Times New Roman"/>
          <w:color w:val="000000"/>
          <w:kern w:val="0"/>
          <w:sz w:val="41"/>
          <w:szCs w:val="41"/>
          <w:lang w:val="en-US" w:eastAsia="zh-CN" w:bidi="ar"/>
        </w:rPr>
        <w:t>4</w:t>
      </w:r>
      <w:r>
        <w:rPr>
          <w:rFonts w:hint="default" w:ascii="Times New Roman" w:hAnsi="Times New Roman" w:eastAsia="方正小标宋简体" w:cs="Times New Roman"/>
          <w:color w:val="000000"/>
          <w:kern w:val="0"/>
          <w:sz w:val="41"/>
          <w:szCs w:val="41"/>
          <w:lang w:val="en-US" w:eastAsia="zh-CN" w:bidi="ar"/>
        </w:rPr>
        <w:t>年度项目支出绩效自评表</w:t>
      </w:r>
    </w:p>
    <w:p>
      <w:pPr>
        <w:keepNext w:val="0"/>
        <w:keepLines w:val="0"/>
        <w:pageBreakBefore w:val="0"/>
        <w:widowControl w:val="0"/>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p>
    <w:tbl>
      <w:tblPr>
        <w:tblStyle w:val="22"/>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077"/>
        <w:gridCol w:w="1079"/>
        <w:gridCol w:w="1222"/>
        <w:gridCol w:w="1135"/>
        <w:gridCol w:w="1132"/>
        <w:gridCol w:w="826"/>
        <w:gridCol w:w="871"/>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val="0"/>
              <w:kinsoku/>
              <w:wordWrap/>
              <w:overflowPunct/>
              <w:topLinePunct w:val="0"/>
              <w:autoSpaceDE/>
              <w:autoSpaceDN/>
              <w:bidi w:val="0"/>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62"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央企对接现场会相关经费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3"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株洲市工业和信息化局</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7"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株洲市工业和信息化局机关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7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p>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5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215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4.94</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4.94</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lang w:val="en-US" w:eastAsia="zh-CN"/>
              </w:rPr>
            </w:pP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lang w:val="en-US" w:eastAsia="zh-CN"/>
              </w:rPr>
            </w:pP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215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215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215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4.94</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4.94</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7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3"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9"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4513"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在央企对接现场会制作产业体系宣传展板（主背景行架搭建+背景制作+射灯，规格为22.8m*3.4m），印发国省专精特新企业画册</w:t>
            </w:r>
          </w:p>
        </w:tc>
        <w:tc>
          <w:tcPr>
            <w:tcW w:w="4249"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在央企对接现场会制作产业体系宣传展板（主背景行架搭建+背景制作+射灯，规格为22.8m*3.4m），印发国省专精特新企业画册。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7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40分</w:t>
            </w:r>
            <w:r>
              <w:rPr>
                <w:rFonts w:hint="eastAsia" w:ascii="Times New Roman" w:hAnsi="Times New Roman" w:eastAsia="仿宋_GB2312" w:cs="Times New Roman"/>
                <w:color w:val="000000"/>
                <w:sz w:val="20"/>
                <w:szCs w:val="20"/>
                <w:lang w:eastAsia="zh-CN"/>
              </w:rPr>
              <w:t>）</w:t>
            </w:r>
          </w:p>
        </w:tc>
        <w:tc>
          <w:tcPr>
            <w:tcW w:w="107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宣传展板（主背景行架搭建+背景制作+射灯）制作</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≥1块</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1块</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p>
        </w:tc>
        <w:tc>
          <w:tcPr>
            <w:tcW w:w="107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宣传画册制作</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≥200册</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240册</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质量合格率</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≥95%</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完成任务及时率</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rPr>
              <w:t>2024</w:t>
            </w:r>
            <w:r>
              <w:rPr>
                <w:rFonts w:hint="eastAsia" w:ascii="Times New Roman" w:hAnsi="Times New Roman" w:eastAsia="仿宋_GB2312" w:cs="Times New Roman"/>
                <w:color w:val="000000"/>
                <w:sz w:val="20"/>
                <w:szCs w:val="20"/>
                <w:lang w:val="en-US" w:eastAsia="zh-CN"/>
              </w:rPr>
              <w:t>年</w:t>
            </w:r>
            <w:r>
              <w:rPr>
                <w:rFonts w:hint="default" w:ascii="Times New Roman" w:hAnsi="Times New Roman" w:eastAsia="仿宋_GB2312" w:cs="Times New Roman"/>
                <w:color w:val="000000"/>
                <w:sz w:val="20"/>
                <w:szCs w:val="20"/>
                <w:lang w:val="en-US"/>
              </w:rPr>
              <w:t>5</w:t>
            </w:r>
            <w:r>
              <w:rPr>
                <w:rFonts w:hint="eastAsia" w:ascii="Times New Roman" w:hAnsi="Times New Roman" w:eastAsia="仿宋_GB2312" w:cs="Times New Roman"/>
                <w:color w:val="000000"/>
                <w:sz w:val="20"/>
                <w:szCs w:val="20"/>
                <w:lang w:val="en-US" w:eastAsia="zh-CN"/>
              </w:rPr>
              <w:t>月30日前</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2024年4月28日</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（20分）</w:t>
            </w: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间接经济效益</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参会嘉宾对株洲产业发展和专精特新企业有比较直接的了解</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参会嘉宾对株洲产业发展和专精特新企业有比较直接的了解</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社会公众知晓度</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通过宣传，社会公众对株洲产业有比较直观的了解</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通过宣传，社会公众对株洲产业有比较直观的了解</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4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both"/>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产业知名度和美誉度</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通过宣传，株洲产业知名度和美誉度进一步提升</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通过宣传，株洲产业知名度和美誉度进一步提升</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eastAsia" w:ascii="东文宋体" w:hAnsi="东文宋体" w:eastAsia="东文宋体" w:cs="东文宋体"/>
                <w:color w:val="000000"/>
                <w:sz w:val="20"/>
                <w:szCs w:val="20"/>
              </w:rPr>
              <w:t>≥</w:t>
            </w:r>
            <w:r>
              <w:rPr>
                <w:rFonts w:hint="default" w:ascii="Times New Roman" w:hAnsi="Times New Roman" w:eastAsia="仿宋_GB2312" w:cs="Times New Roman"/>
                <w:color w:val="000000"/>
                <w:sz w:val="20"/>
                <w:szCs w:val="20"/>
                <w:lang w:val="en-US"/>
              </w:rPr>
              <w:t>85</w:t>
            </w:r>
            <w:r>
              <w:rPr>
                <w:rFonts w:hint="eastAsia" w:ascii="Times New Roman" w:hAnsi="Times New Roman" w:eastAsia="仿宋_GB2312" w:cs="Times New Roman"/>
                <w:color w:val="000000"/>
                <w:sz w:val="20"/>
                <w:szCs w:val="20"/>
                <w:lang w:val="en-US" w:eastAsia="zh-CN"/>
              </w:rPr>
              <w:t>%</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rPr>
              <w:t>90%</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rPr>
              <w:t>10</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rPr>
              <w:t>10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成本指标（20分）</w:t>
            </w: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展板（主背景行架搭建+背景制作+射灯）和画册制作费用</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eastAsia" w:ascii="东文宋体" w:hAnsi="东文宋体" w:eastAsia="东文宋体" w:cs="东文宋体"/>
                <w:color w:val="000000"/>
                <w:sz w:val="20"/>
                <w:szCs w:val="20"/>
              </w:rPr>
              <w:t>≤</w:t>
            </w:r>
            <w:r>
              <w:rPr>
                <w:rFonts w:hint="eastAsia" w:ascii="Times New Roman" w:hAnsi="Times New Roman" w:eastAsia="仿宋_GB2312" w:cs="Times New Roman"/>
                <w:color w:val="000000"/>
                <w:sz w:val="20"/>
                <w:szCs w:val="20"/>
                <w:lang w:val="en-US" w:eastAsia="zh-CN"/>
              </w:rPr>
              <w:t>6万元</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4.94万元</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rPr>
              <w:t>20</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rPr>
              <w:t>20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122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仿宋_GB2312" w:cs="Times New Roman"/>
                <w:color w:val="000000"/>
                <w:sz w:val="20"/>
                <w:szCs w:val="20"/>
                <w:lang w:val="en-US"/>
              </w:rPr>
            </w:pPr>
            <w:r>
              <w:rPr>
                <w:rFonts w:hint="eastAsia" w:ascii="宋体" w:hAnsi="宋体" w:eastAsia="宋体" w:cs="宋体"/>
                <w:i w:val="0"/>
                <w:iCs w:val="0"/>
                <w:color w:val="000000"/>
                <w:kern w:val="0"/>
                <w:sz w:val="18"/>
                <w:szCs w:val="18"/>
                <w:u w:val="none"/>
                <w:lang w:val="en-US" w:eastAsia="zh-CN" w:bidi="ar"/>
              </w:rPr>
              <w:t>/</w:t>
            </w:r>
          </w:p>
        </w:tc>
        <w:tc>
          <w:tcPr>
            <w:tcW w:w="113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仿宋_GB2312"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w:t>
            </w:r>
          </w:p>
        </w:tc>
        <w:tc>
          <w:tcPr>
            <w:tcW w:w="113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仿宋_GB2312"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w:t>
            </w:r>
          </w:p>
        </w:tc>
        <w:tc>
          <w:tcPr>
            <w:tcW w:w="82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仿宋_GB2312"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w:t>
            </w:r>
          </w:p>
        </w:tc>
        <w:tc>
          <w:tcPr>
            <w:tcW w:w="87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仿宋_GB2312"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22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仿宋_GB2312" w:cs="Times New Roman"/>
                <w:color w:val="000000"/>
                <w:sz w:val="20"/>
                <w:szCs w:val="20"/>
                <w:lang w:val="en-US"/>
              </w:rPr>
            </w:pPr>
            <w:r>
              <w:rPr>
                <w:rFonts w:hint="eastAsia" w:ascii="宋体" w:hAnsi="宋体" w:eastAsia="宋体" w:cs="宋体"/>
                <w:i w:val="0"/>
                <w:iCs w:val="0"/>
                <w:color w:val="000000"/>
                <w:kern w:val="0"/>
                <w:sz w:val="18"/>
                <w:szCs w:val="18"/>
                <w:u w:val="none"/>
                <w:lang w:val="en-US" w:eastAsia="zh-CN" w:bidi="ar"/>
              </w:rPr>
              <w:t>/</w:t>
            </w:r>
          </w:p>
        </w:tc>
        <w:tc>
          <w:tcPr>
            <w:tcW w:w="113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仿宋_GB2312"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w:t>
            </w:r>
          </w:p>
        </w:tc>
        <w:tc>
          <w:tcPr>
            <w:tcW w:w="113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仿宋_GB2312"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w:t>
            </w:r>
          </w:p>
        </w:tc>
        <w:tc>
          <w:tcPr>
            <w:tcW w:w="82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仿宋_GB2312"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w:t>
            </w:r>
          </w:p>
        </w:tc>
        <w:tc>
          <w:tcPr>
            <w:tcW w:w="87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仿宋_GB2312"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722"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r>
    </w:tbl>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jc w:val="left"/>
        <w:rPr>
          <w:rFonts w:hint="default" w:ascii="Times New Roman" w:hAnsi="Times New Roman" w:eastAsia="仿宋_GB2312" w:cs="Times New Roman"/>
          <w:sz w:val="28"/>
          <w:szCs w:val="28"/>
        </w:rPr>
      </w:pP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仿宋_GB2312" w:cs="Times New Roman"/>
          <w:sz w:val="28"/>
          <w:szCs w:val="28"/>
        </w:rPr>
        <w:br w:type="page"/>
      </w:r>
      <w:r>
        <w:rPr>
          <w:rFonts w:hint="default" w:ascii="Times New Roman" w:hAnsi="Times New Roman" w:eastAsia="方正小标宋简体" w:cs="Times New Roman"/>
          <w:color w:val="000000"/>
          <w:kern w:val="0"/>
          <w:sz w:val="41"/>
          <w:szCs w:val="41"/>
          <w:lang w:val="en-US" w:eastAsia="zh-CN" w:bidi="ar"/>
        </w:rPr>
        <w:t>产业链发展专项资金</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1"/>
          <w:szCs w:val="41"/>
          <w:lang w:val="en-US" w:eastAsia="zh-CN" w:bidi="ar"/>
        </w:rPr>
        <w:t>绩效自评报告</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eastAsia="黑体" w:cs="Times New Roman"/>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一、预算收支出情况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0"/>
          <w:sz w:val="32"/>
          <w:szCs w:val="32"/>
          <w:highlight w:val="none"/>
          <w:lang w:bidi="ar"/>
        </w:rPr>
        <w:t>2024年预算</w:t>
      </w:r>
      <w:r>
        <w:rPr>
          <w:rFonts w:hint="default" w:ascii="Times New Roman" w:hAnsi="Times New Roman" w:eastAsia="仿宋_GB2312" w:cs="Times New Roman"/>
          <w:sz w:val="32"/>
          <w:szCs w:val="32"/>
          <w:lang w:val="en-US" w:eastAsia="zh-CN"/>
        </w:rPr>
        <w:t>8.23</w:t>
      </w:r>
      <w:r>
        <w:rPr>
          <w:rFonts w:hint="default" w:ascii="Times New Roman" w:hAnsi="Times New Roman" w:eastAsia="仿宋_GB2312" w:cs="Times New Roman"/>
          <w:b w:val="0"/>
          <w:bCs w:val="0"/>
          <w:color w:val="000000"/>
          <w:kern w:val="0"/>
          <w:sz w:val="32"/>
          <w:szCs w:val="32"/>
          <w:highlight w:val="none"/>
          <w:lang w:bidi="ar"/>
        </w:rPr>
        <w:t>万元，其中年初预算</w:t>
      </w:r>
      <w:r>
        <w:rPr>
          <w:rFonts w:hint="eastAsia" w:ascii="Times New Roman" w:hAnsi="Times New Roman" w:eastAsia="仿宋_GB2312" w:cs="Times New Roman"/>
          <w:b w:val="0"/>
          <w:bCs w:val="0"/>
          <w:color w:val="000000"/>
          <w:kern w:val="0"/>
          <w:sz w:val="32"/>
          <w:szCs w:val="32"/>
          <w:highlight w:val="none"/>
          <w:lang w:val="en-US" w:eastAsia="zh-CN" w:bidi="ar"/>
        </w:rPr>
        <w:t>44.97</w:t>
      </w:r>
      <w:r>
        <w:rPr>
          <w:rFonts w:hint="default" w:ascii="Times New Roman" w:hAnsi="Times New Roman" w:eastAsia="仿宋_GB2312" w:cs="Times New Roman"/>
          <w:b w:val="0"/>
          <w:bCs w:val="0"/>
          <w:color w:val="000000"/>
          <w:kern w:val="0"/>
          <w:sz w:val="32"/>
          <w:szCs w:val="32"/>
          <w:highlight w:val="none"/>
          <w:lang w:bidi="ar"/>
        </w:rPr>
        <w:t>万元，实际支出</w:t>
      </w:r>
      <w:r>
        <w:rPr>
          <w:rFonts w:hint="default" w:ascii="Times New Roman" w:hAnsi="Times New Roman" w:eastAsia="仿宋_GB2312" w:cs="Times New Roman"/>
          <w:sz w:val="32"/>
          <w:szCs w:val="32"/>
          <w:lang w:val="en-US" w:eastAsia="zh-CN"/>
        </w:rPr>
        <w:t>8.23</w:t>
      </w:r>
      <w:r>
        <w:rPr>
          <w:rFonts w:hint="default" w:ascii="Times New Roman" w:hAnsi="Times New Roman" w:eastAsia="仿宋_GB2312" w:cs="Times New Roman"/>
          <w:b w:val="0"/>
          <w:bCs w:val="0"/>
          <w:color w:val="000000"/>
          <w:kern w:val="0"/>
          <w:sz w:val="32"/>
          <w:szCs w:val="32"/>
          <w:highlight w:val="none"/>
          <w:lang w:bidi="ar"/>
        </w:rPr>
        <w:t xml:space="preserve">万元。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二、项目支出绩效情况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为深入落实习近平总书记关于湖南工作的重要讲话和指示批示精神，锚定“三高四新”美好蓝图，在打造全国重要先进制造业高地中彰显株洲力量。202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年，我市产业链专项经费支出8.23</w:t>
      </w:r>
      <w:r>
        <w:rPr>
          <w:rFonts w:hint="eastAsia"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lang w:val="en-US" w:eastAsia="zh-CN"/>
        </w:rPr>
        <w:t>元，主要用于产业链办公室工作经费。项目实施及绩效情况如下：</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仿宋_GB2312" w:cs="Times New Roman"/>
          <w:color w:val="000000"/>
          <w:kern w:val="0"/>
          <w:sz w:val="31"/>
          <w:szCs w:val="31"/>
          <w:rtl w:val="0"/>
          <w:lang w:val="en-US" w:eastAsia="zh-CN" w:bidi="ar"/>
        </w:rPr>
      </w:pPr>
      <w:r>
        <w:rPr>
          <w:rFonts w:hint="default" w:ascii="Times New Roman" w:hAnsi="Times New Roman" w:eastAsia="楷体_GB2312" w:cs="Times New Roman"/>
          <w:b/>
          <w:bCs/>
          <w:sz w:val="32"/>
          <w:szCs w:val="32"/>
          <w:lang w:val="en-US" w:eastAsia="zh-CN"/>
        </w:rPr>
        <w:t>（一）完善链群推进机制。</w:t>
      </w:r>
      <w:r>
        <w:rPr>
          <w:rFonts w:hint="default" w:ascii="Times New Roman" w:hAnsi="Times New Roman" w:eastAsia="仿宋_GB2312" w:cs="Times New Roman"/>
          <w:sz w:val="32"/>
          <w:szCs w:val="32"/>
          <w:lang w:val="en-US" w:eastAsia="zh-CN"/>
        </w:rPr>
        <w:t>市委市政府高度重视产业链工作，聚焦构建“3+3+2”现代化产业体系和“两个年”活动，全面落实全省重点产业倍增计划推进机制要求和全市产业培塑行动部署，出台《2024年株洲市产业链高质量发展推进机制方案》，印发《2024年产业链高质量发展重点工作任务清单》，有力推动工作机制再升级、产业链设置再优化、工作重点再聚焦、工作力量再增强。由书记、市长担任总链长，3位市领导牵头市总链办，13位链长、13个市直链办和联合党委、协会、集群促进组织共同推进的工作机制进一步完善顺畅。</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8" w:lineRule="exact"/>
        <w:ind w:firstLine="642"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sz w:val="32"/>
          <w:szCs w:val="32"/>
          <w:rtl w:val="0"/>
          <w:lang w:val="en-US" w:eastAsia="zh-CN"/>
        </w:rPr>
        <w:t>（二）</w:t>
      </w:r>
      <w:r>
        <w:rPr>
          <w:rFonts w:hint="default" w:ascii="Times New Roman" w:hAnsi="Times New Roman" w:eastAsia="楷体_GB2312" w:cs="Times New Roman"/>
          <w:b/>
          <w:bCs/>
          <w:sz w:val="32"/>
          <w:szCs w:val="32"/>
          <w:rtl w:val="0"/>
          <w:lang w:val="en-US" w:eastAsia="zh-CN"/>
        </w:rPr>
        <w:t>争创</w:t>
      </w:r>
      <w:r>
        <w:rPr>
          <w:rFonts w:hint="eastAsia" w:ascii="Times New Roman" w:hAnsi="Times New Roman" w:eastAsia="楷体_GB2312" w:cs="Times New Roman"/>
          <w:b/>
          <w:bCs/>
          <w:sz w:val="32"/>
          <w:szCs w:val="32"/>
          <w:rtl w:val="0"/>
          <w:lang w:val="en-US" w:eastAsia="zh-CN"/>
        </w:rPr>
        <w:t>一批</w:t>
      </w:r>
      <w:r>
        <w:rPr>
          <w:rFonts w:hint="default" w:ascii="Times New Roman" w:hAnsi="Times New Roman" w:eastAsia="楷体_GB2312" w:cs="Times New Roman"/>
          <w:b/>
          <w:bCs/>
          <w:sz w:val="32"/>
          <w:szCs w:val="32"/>
          <w:rtl w:val="0"/>
          <w:lang w:val="en-US" w:eastAsia="zh-CN"/>
        </w:rPr>
        <w:t>国省集群</w:t>
      </w:r>
      <w:r>
        <w:rPr>
          <w:rFonts w:hint="eastAsia" w:ascii="Times New Roman" w:hAnsi="Times New Roman" w:eastAsia="楷体_GB2312" w:cs="Times New Roman"/>
          <w:b/>
          <w:bCs/>
          <w:sz w:val="32"/>
          <w:szCs w:val="32"/>
          <w:rtl w:val="0"/>
          <w:lang w:val="en-US" w:eastAsia="zh-CN"/>
        </w:rPr>
        <w:t>。</w:t>
      </w:r>
      <w:r>
        <w:rPr>
          <w:rFonts w:hint="eastAsia" w:ascii="Times New Roman" w:hAnsi="Times New Roman" w:eastAsia="仿宋_GB2312" w:cs="Times New Roman"/>
          <w:color w:val="auto"/>
          <w:sz w:val="32"/>
          <w:szCs w:val="32"/>
          <w:rtl w:val="0"/>
          <w:lang w:val="en-US" w:eastAsia="zh-CN"/>
        </w:rPr>
        <w:t>2024年，荷塘区硬质合金、衡长株潭特高压输变电装备分别获批国家中小企业特色集群、国家先进制造业集群，国家级集群累计5个；陆上风电装备成功创建为省级先进制造业集群；北斗时空信息及包装材料、高分子功能膜与涂料新入围省级产业集群培育对象；省级集群及培育对象累计10个。</w:t>
      </w:r>
      <w:r>
        <w:rPr>
          <w:rFonts w:hint="eastAsia" w:ascii="Times New Roman" w:hAnsi="Times New Roman" w:eastAsia="仿宋_GB2312" w:cs="Times New Roman"/>
          <w:color w:val="auto"/>
          <w:sz w:val="32"/>
          <w:szCs w:val="32"/>
          <w:lang w:val="en-US" w:eastAsia="zh-CN"/>
        </w:rPr>
        <w:t>印发了《关于进一步加强产业集群发展促进组织建设与管理的通知》，从自身建设、资金管理、职能发挥、监督管理等方面，提出对促进组织建设与管理的要求，确保促进组织健康发展。全年两次组织开展对集群促进组织的调研，掌握促进组织运营情况，了解实际困难，同时，为了更好的学习先进经验，组织全市促进组织赴无锡考察学习。</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2" w:firstLineChars="200"/>
        <w:textAlignment w:val="auto"/>
        <w:rPr>
          <w:rFonts w:hint="default" w:ascii="Times New Roman" w:hAnsi="Times New Roman" w:eastAsia="楷体_GB2312" w:cs="Times New Roman"/>
          <w:b/>
          <w:bCs/>
          <w:color w:val="auto"/>
          <w:kern w:val="2"/>
          <w:sz w:val="32"/>
          <w:szCs w:val="32"/>
          <w:u w:val="none"/>
          <w:lang w:val="en-US" w:eastAsia="zh-CN" w:bidi="ar-SA"/>
        </w:rPr>
      </w:pPr>
      <w:r>
        <w:rPr>
          <w:rFonts w:hint="default" w:ascii="Times New Roman" w:hAnsi="Times New Roman" w:eastAsia="楷体_GB2312" w:cs="Times New Roman"/>
          <w:b/>
          <w:bCs/>
          <w:sz w:val="32"/>
          <w:szCs w:val="32"/>
          <w:lang w:val="en-US" w:eastAsia="zh-CN"/>
        </w:rPr>
        <w:t>（三）</w:t>
      </w:r>
      <w:r>
        <w:rPr>
          <w:rFonts w:hint="eastAsia" w:ascii="Times New Roman" w:hAnsi="Times New Roman" w:eastAsia="楷体_GB2312" w:cs="Times New Roman"/>
          <w:b/>
          <w:bCs/>
          <w:sz w:val="32"/>
          <w:szCs w:val="32"/>
          <w:lang w:val="en-US" w:eastAsia="zh-CN"/>
        </w:rPr>
        <w:t>致力强链补链延链。</w:t>
      </w:r>
      <w:r>
        <w:rPr>
          <w:rFonts w:hint="default" w:ascii="Times New Roman" w:hAnsi="Times New Roman" w:eastAsia="仿宋_GB2312" w:cs="Times New Roman"/>
          <w:color w:val="auto"/>
          <w:kern w:val="2"/>
          <w:sz w:val="32"/>
          <w:szCs w:val="32"/>
          <w:u w:val="none"/>
          <w:lang w:val="en-US" w:eastAsia="zh-CN" w:bidi="ar-SA"/>
        </w:rPr>
        <w:t>紧扣强链补链延链，</w:t>
      </w:r>
      <w:r>
        <w:rPr>
          <w:rFonts w:hint="eastAsia" w:ascii="Times New Roman" w:hAnsi="Times New Roman" w:eastAsia="仿宋_GB2312" w:cs="Times New Roman"/>
          <w:color w:val="auto"/>
          <w:kern w:val="2"/>
          <w:sz w:val="32"/>
          <w:szCs w:val="32"/>
          <w:u w:val="none"/>
          <w:lang w:val="en-US" w:eastAsia="zh-CN" w:bidi="ar-SA"/>
        </w:rPr>
        <w:t>完善“一图四库一清单”</w:t>
      </w:r>
      <w:r>
        <w:rPr>
          <w:rFonts w:hint="default" w:ascii="Times New Roman" w:hAnsi="Times New Roman" w:eastAsia="仿宋_GB2312" w:cs="Times New Roman"/>
          <w:color w:val="auto"/>
          <w:kern w:val="2"/>
          <w:sz w:val="32"/>
          <w:szCs w:val="32"/>
          <w:u w:val="none"/>
          <w:lang w:val="en-US" w:eastAsia="zh-CN" w:bidi="ar-SA"/>
        </w:rPr>
        <w:t>，全面摸清底子、找准发力路子。</w:t>
      </w:r>
      <w:r>
        <w:rPr>
          <w:rFonts w:hint="default" w:ascii="Times New Roman" w:hAnsi="Times New Roman" w:eastAsia="楷体_GB2312" w:cs="Times New Roman"/>
          <w:b/>
          <w:bCs/>
          <w:color w:val="auto"/>
          <w:kern w:val="2"/>
          <w:sz w:val="32"/>
          <w:szCs w:val="32"/>
          <w:u w:val="none"/>
          <w:lang w:val="en-US" w:eastAsia="zh-CN" w:bidi="ar-SA"/>
        </w:rPr>
        <w:t>一是以科技创新“强链”。</w:t>
      </w:r>
      <w:r>
        <w:rPr>
          <w:rFonts w:hint="eastAsia" w:ascii="Times New Roman" w:hAnsi="Times New Roman" w:eastAsia="仿宋_GB2312"/>
          <w:color w:val="auto"/>
          <w:kern w:val="0"/>
          <w:sz w:val="32"/>
          <w:szCs w:val="32"/>
          <w:lang w:eastAsia="zh-CN"/>
        </w:rPr>
        <w:t>立足</w:t>
      </w:r>
      <w:r>
        <w:rPr>
          <w:rFonts w:ascii="Times New Roman" w:hAnsi="Times New Roman" w:eastAsia="仿宋_GB2312"/>
          <w:color w:val="auto"/>
          <w:kern w:val="0"/>
          <w:sz w:val="32"/>
          <w:szCs w:val="32"/>
        </w:rPr>
        <w:t>“厂所协同”优势，聚焦工业“六基”，全力搭平台、攻技术、促转化。</w:t>
      </w:r>
      <w:r>
        <w:rPr>
          <w:rFonts w:hint="default" w:ascii="Times New Roman" w:hAnsi="Times New Roman" w:eastAsia="仿宋_GB2312" w:cs="Times New Roman"/>
          <w:color w:val="auto"/>
          <w:kern w:val="0"/>
          <w:sz w:val="32"/>
          <w:szCs w:val="32"/>
          <w:rtl w:val="0"/>
          <w:lang w:val="en-US" w:eastAsia="zh-CN"/>
        </w:rPr>
        <w:t>赛迪国内首个先进制造业创新中心落户株洲。瑞德尔入围第三批国家高端装备制造业标准化试点名单。中车株机国内首台新型智能重载电力机车获评“央企十大国之重器”；最大国产无人运输机成功首飞；608所、331厂联合研制的民用涡轴发动机AES100获颁型号合格证</w:t>
      </w:r>
      <w:r>
        <w:rPr>
          <w:rFonts w:hint="eastAsia" w:ascii="Times New Roman" w:hAnsi="Times New Roman" w:eastAsia="仿宋_GB2312" w:cs="Times New Roman"/>
          <w:color w:val="auto"/>
          <w:kern w:val="0"/>
          <w:sz w:val="32"/>
          <w:szCs w:val="32"/>
          <w:rtl w:val="0"/>
          <w:lang w:val="en-US" w:eastAsia="zh-CN"/>
        </w:rPr>
        <w:t>，</w:t>
      </w:r>
      <w:r>
        <w:rPr>
          <w:rFonts w:hint="default" w:ascii="Times New Roman" w:hAnsi="Times New Roman" w:eastAsia="仿宋_GB2312" w:cs="Times New Roman"/>
          <w:color w:val="auto"/>
          <w:kern w:val="0"/>
          <w:sz w:val="32"/>
          <w:szCs w:val="32"/>
          <w:rtl w:val="0"/>
          <w:lang w:val="en-US" w:eastAsia="zh-CN"/>
        </w:rPr>
        <w:t>标志着我国已具备按照国际</w:t>
      </w:r>
      <w:r>
        <w:rPr>
          <w:rFonts w:hint="eastAsia" w:ascii="仿宋_GB2312" w:hAnsi="仿宋_GB2312" w:eastAsia="仿宋_GB2312" w:cs="仿宋_GB2312"/>
          <w:color w:val="auto"/>
          <w:kern w:val="0"/>
          <w:sz w:val="32"/>
          <w:szCs w:val="32"/>
          <w:rtl w:val="0"/>
          <w:lang w:val="en-US" w:eastAsia="zh-CN"/>
        </w:rPr>
        <w:t>通行适航标准自主研制先进民用涡轴发动机的能力。</w:t>
      </w:r>
      <w:r>
        <w:rPr>
          <w:rFonts w:hint="eastAsia" w:ascii="Times New Roman" w:hAnsi="Times New Roman" w:eastAsia="楷体_GB2312" w:cs="Times New Roman"/>
          <w:b/>
          <w:bCs/>
          <w:sz w:val="32"/>
          <w:szCs w:val="32"/>
          <w:rtl w:val="0"/>
          <w:lang w:val="en-US" w:eastAsia="zh-CN"/>
        </w:rPr>
        <w:t>二是以精准招商“补链”。</w:t>
      </w:r>
      <w:r>
        <w:rPr>
          <w:rFonts w:hint="eastAsia" w:ascii="仿宋_GB2312" w:hAnsi="仿宋_GB2312" w:eastAsia="仿宋_GB2312" w:cs="仿宋_GB2312"/>
          <w:sz w:val="32"/>
          <w:szCs w:val="32"/>
          <w:lang w:val="en-US" w:eastAsia="zh-CN"/>
        </w:rPr>
        <w:t>各链围绕补链延链强链，深入产业链调研与分析，链长亲自带队外出招商，慧泉书记、恢清市长等多次带队到武汉、西安、上海</w:t>
      </w:r>
      <w:r>
        <w:rPr>
          <w:rFonts w:hint="eastAsia" w:ascii="Times New Roman" w:hAnsi="Times New Roman" w:eastAsia="仿宋_GB2312" w:cs="Times New Roman"/>
          <w:color w:val="auto"/>
          <w:kern w:val="0"/>
          <w:sz w:val="32"/>
          <w:szCs w:val="32"/>
          <w:rtl w:val="0"/>
          <w:lang w:val="en-US" w:eastAsia="zh-CN"/>
        </w:rPr>
        <w:t>等地，以及中东地区等进行产业推介和对接，13条产业链选聘了96名链上主要企业负责人担任产业链招商顾问。2023年签约产业项目213个，2024年引进产业链重点签约项目214个，合同投资总额近588.8亿元</w:t>
      </w:r>
      <w:r>
        <w:rPr>
          <w:rFonts w:hint="eastAsia" w:ascii="仿宋_GB2312" w:hAnsi="仿宋_GB2312" w:eastAsia="仿宋_GB2312" w:cs="仿宋_GB2312"/>
          <w:sz w:val="32"/>
          <w:szCs w:val="32"/>
          <w:lang w:val="en-US" w:eastAsia="zh-CN"/>
        </w:rPr>
        <w:t>。</w:t>
      </w:r>
      <w:r>
        <w:rPr>
          <w:rFonts w:hint="eastAsia" w:ascii="Times New Roman" w:hAnsi="Times New Roman" w:eastAsia="楷体_GB2312" w:cs="Times New Roman"/>
          <w:b/>
          <w:bCs/>
          <w:sz w:val="32"/>
          <w:szCs w:val="32"/>
          <w:rtl w:val="0"/>
          <w:lang w:val="en-US" w:eastAsia="zh-CN"/>
        </w:rPr>
        <w:t>三是以企业培育“延链”。</w:t>
      </w:r>
      <w:r>
        <w:rPr>
          <w:rFonts w:hint="eastAsia" w:ascii="仿宋_GB2312" w:hAnsi="仿宋_GB2312" w:eastAsia="仿宋_GB2312" w:cs="仿宋_GB2312"/>
          <w:sz w:val="32"/>
          <w:szCs w:val="32"/>
          <w:highlight w:val="none"/>
          <w:u w:val="none" w:color="auto"/>
          <w:rtl w:val="0"/>
          <w:lang w:val="en-US" w:eastAsia="zh-CN"/>
        </w:rPr>
        <w:t>实施</w:t>
      </w:r>
      <w:r>
        <w:rPr>
          <w:rFonts w:hint="eastAsia" w:ascii="仿宋_GB2312" w:hAnsi="仿宋_GB2312" w:eastAsia="仿宋_GB2312" w:cs="仿宋_GB2312"/>
          <w:color w:val="auto"/>
          <w:sz w:val="32"/>
          <w:szCs w:val="32"/>
          <w:highlight w:val="none"/>
          <w:u w:val="none" w:color="auto"/>
          <w:rtl w:val="0"/>
          <w:lang w:val="en-US" w:eastAsia="zh-CN"/>
        </w:rPr>
        <w:t>优质企业</w:t>
      </w:r>
      <w:r>
        <w:rPr>
          <w:rFonts w:hint="eastAsia" w:ascii="Times New Roman" w:hAnsi="Times New Roman" w:eastAsia="仿宋_GB2312" w:cs="Times New Roman"/>
          <w:color w:val="auto"/>
          <w:kern w:val="0"/>
          <w:sz w:val="32"/>
          <w:szCs w:val="32"/>
          <w:rtl w:val="0"/>
          <w:lang w:val="en-US" w:eastAsia="zh-CN"/>
        </w:rPr>
        <w:t>梯度培育行动，推动主体数量、发展质量“双量齐升”。</w:t>
      </w:r>
      <w:r>
        <w:rPr>
          <w:rFonts w:hint="eastAsia" w:ascii="Times New Roman" w:hAnsi="Times New Roman" w:eastAsia="仿宋_GB2312" w:cs="Times New Roman"/>
          <w:color w:val="auto"/>
          <w:kern w:val="0"/>
          <w:sz w:val="32"/>
          <w:szCs w:val="32"/>
          <w:rtl w:val="0"/>
          <w:lang w:val="en" w:eastAsia="zh-CN"/>
        </w:rPr>
        <w:t>2024年全市</w:t>
      </w:r>
      <w:r>
        <w:rPr>
          <w:rFonts w:hint="eastAsia" w:ascii="Times New Roman" w:hAnsi="Times New Roman" w:eastAsia="仿宋_GB2312" w:cs="Times New Roman"/>
          <w:color w:val="auto"/>
          <w:kern w:val="0"/>
          <w:sz w:val="32"/>
          <w:szCs w:val="32"/>
          <w:rtl w:val="0"/>
          <w:lang w:val="en-US" w:eastAsia="zh-CN"/>
        </w:rPr>
        <w:t>新增规工企业约150家，在库总数迈上2200家新台阶。全市规上增速增加值10.4%，居全省第一。产业链“四上”企业达4500家，占全市“四上”企业的83.49%。总规模超过8100亿元。新增国省级专精特新企业123家、累计突破500家。新增国省级制造业单项冠军31个。中车株所、时代新材营收分别突破600亿元、200亿元。小</w:t>
      </w:r>
      <w:r>
        <w:rPr>
          <w:rFonts w:hint="eastAsia" w:ascii="仿宋_GB2312" w:hAnsi="仿宋_GB2312" w:eastAsia="仿宋_GB2312" w:cs="仿宋_GB2312"/>
          <w:sz w:val="32"/>
          <w:szCs w:val="32"/>
          <w:highlight w:val="none"/>
          <w:u w:val="none" w:color="auto"/>
          <w:rtl w:val="0"/>
          <w:lang w:val="en-US" w:eastAsia="zh-CN"/>
        </w:rPr>
        <w:t>微企业规模发展、中小企业创新发展、优</w:t>
      </w:r>
      <w:r>
        <w:rPr>
          <w:rFonts w:hint="eastAsia" w:ascii="仿宋_GB2312" w:hAnsi="仿宋_GB2312" w:eastAsia="仿宋_GB2312" w:cs="仿宋_GB2312"/>
          <w:spacing w:val="-6"/>
          <w:sz w:val="32"/>
          <w:szCs w:val="32"/>
          <w:highlight w:val="none"/>
          <w:u w:val="none" w:color="auto"/>
          <w:rtl w:val="0"/>
          <w:lang w:val="en-US" w:eastAsia="zh-CN"/>
        </w:rPr>
        <w:t>质企业裂变发展、链主企业领航发展的梯度培育格局加快形成。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bCs/>
          <w:sz w:val="32"/>
          <w:szCs w:val="32"/>
          <w:rtl w:val="0"/>
          <w:lang w:val="en-US" w:eastAsia="zh-CN"/>
        </w:rPr>
        <w:t>（三）激发产业链党建活力。</w:t>
      </w:r>
      <w:r>
        <w:rPr>
          <w:rFonts w:hint="eastAsia" w:ascii="Times New Roman" w:hAnsi="Times New Roman" w:eastAsia="仿宋_GB2312" w:cs="Times New Roman"/>
          <w:sz w:val="32"/>
          <w:szCs w:val="32"/>
          <w:rtl w:val="0"/>
          <w:lang w:val="en-US" w:eastAsia="zh-CN"/>
        </w:rPr>
        <w:t>持续深化“动力党建·聚力两新”建设，围绕全市“3+3+2”产业体系，发挥党组织总揽全局、协调各方的领导核心作用，通过建机制、聚合力，进一步聚焦重点、赋能升级。通过市委组织部选派挂职干部到各链办，</w:t>
      </w:r>
      <w:r>
        <w:rPr>
          <w:rFonts w:hint="default" w:ascii="Times New Roman" w:hAnsi="Times New Roman" w:eastAsia="仿宋_GB2312" w:cs="Times New Roman"/>
          <w:sz w:val="32"/>
          <w:szCs w:val="32"/>
          <w:lang w:val="en-US" w:eastAsia="zh-CN"/>
        </w:rPr>
        <w:t>充实产业链联合党委工作力量，进一步完善和调整产业链联合党委工作机制。开展“民企进名企”等活动，搭建合作交流平台，先后组织赴海南、西安等地考察学习，全年开展联合主题党日、“链长到一线”活动、产业论坛、链上文娱比赛等活动150余次，开展主题党日活动30余次，充分激发产业链党建活力。</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大标宋简体" w:cs="Times New Roman"/>
          <w:color w:val="000000"/>
          <w:sz w:val="36"/>
          <w:szCs w:val="36"/>
        </w:rPr>
        <w:sectPr>
          <w:footerReference r:id="rId6" w:type="default"/>
          <w:pgSz w:w="11906" w:h="16838"/>
          <w:pgMar w:top="1984" w:right="1531" w:bottom="1701" w:left="1531" w:header="851" w:footer="1588" w:gutter="0"/>
          <w:cols w:space="720" w:num="1"/>
          <w:docGrid w:linePitch="312" w:charSpace="0"/>
        </w:sectPr>
      </w:pPr>
    </w:p>
    <w:p>
      <w:pPr>
        <w:keepNext w:val="0"/>
        <w:keepLines w:val="0"/>
        <w:pageBreakBefore w:val="0"/>
        <w:widowControl w:val="0"/>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202</w:t>
      </w:r>
      <w:r>
        <w:rPr>
          <w:rFonts w:hint="eastAsia" w:ascii="Times New Roman" w:hAnsi="Times New Roman" w:eastAsia="方正小标宋简体" w:cs="Times New Roman"/>
          <w:color w:val="000000"/>
          <w:kern w:val="0"/>
          <w:sz w:val="41"/>
          <w:szCs w:val="41"/>
          <w:lang w:val="en-US" w:eastAsia="zh-CN" w:bidi="ar"/>
        </w:rPr>
        <w:t>4</w:t>
      </w:r>
      <w:r>
        <w:rPr>
          <w:rFonts w:hint="default" w:ascii="Times New Roman" w:hAnsi="Times New Roman" w:eastAsia="方正小标宋简体" w:cs="Times New Roman"/>
          <w:color w:val="000000"/>
          <w:kern w:val="0"/>
          <w:sz w:val="41"/>
          <w:szCs w:val="41"/>
          <w:lang w:val="en-US" w:eastAsia="zh-CN" w:bidi="ar"/>
        </w:rPr>
        <w:t>年度项目支出绩效自评表</w:t>
      </w:r>
    </w:p>
    <w:tbl>
      <w:tblPr>
        <w:tblStyle w:val="22"/>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077"/>
        <w:gridCol w:w="1079"/>
        <w:gridCol w:w="1222"/>
        <w:gridCol w:w="1135"/>
        <w:gridCol w:w="1132"/>
        <w:gridCol w:w="826"/>
        <w:gridCol w:w="871"/>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val="0"/>
              <w:kinsoku/>
              <w:wordWrap/>
              <w:overflowPunct/>
              <w:topLinePunct w:val="0"/>
              <w:autoSpaceDE/>
              <w:autoSpaceDN/>
              <w:bidi w:val="0"/>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62"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产业链发展专项资金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3"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株洲市工业和信息化局</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7"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株洲市工业和信息化局机关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7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p>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5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215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44.97</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8.23</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8.23</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lang w:val="en-US" w:eastAsia="zh-CN"/>
              </w:rPr>
            </w:pP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lang w:val="en-US" w:eastAsia="zh-CN"/>
              </w:rPr>
            </w:pP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eastAsia" w:ascii="Times New Roman" w:hAnsi="Times New Roman" w:eastAsia="仿宋_GB2312" w:cs="Times New Roman"/>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215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215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215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44.97</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8.23</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8.23</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7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3"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9"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4513"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株洲产业链总规模突破5000亿元，创建1个国家级产业集群，新增省级产业集群（含培育对象）3个以上。</w:t>
            </w:r>
          </w:p>
        </w:tc>
        <w:tc>
          <w:tcPr>
            <w:tcW w:w="4249"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2024年，全市产业链总规模超过8100亿元（含重复计算），荷塘区硬质合金、衡长株潭特高压输变电装备分别获批国家中小企业特色集群、国家先进制造业集群；陆上风电装备成功创建为省级先进制造业集群；北斗时空信息及包装材料、高分子功能膜与涂料新入围省级产业集群培育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7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40分</w:t>
            </w:r>
            <w:r>
              <w:rPr>
                <w:rFonts w:hint="eastAsia" w:ascii="Times New Roman" w:hAnsi="Times New Roman" w:eastAsia="仿宋_GB2312" w:cs="Times New Roman"/>
                <w:color w:val="000000"/>
                <w:sz w:val="20"/>
                <w:szCs w:val="20"/>
                <w:lang w:eastAsia="zh-CN"/>
              </w:rPr>
              <w:t>）</w:t>
            </w: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产业链总规模</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≥5000亿元</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8100亿元</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国省产业集群（含培育对象）数量</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lang w:val="en-US" w:eastAsia="zh-CN"/>
              </w:rPr>
              <w:t>4个</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5个</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奖补资金发放时间</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2024年12月前</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2024年12月前</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（20分）</w:t>
            </w: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全市规工增加值增速</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lang w:val="en-US" w:eastAsia="zh-CN"/>
              </w:rPr>
              <w:t>7%</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10.4%</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产业链供应链稳定性</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确保产业链供应链稳定</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全年</w:t>
            </w:r>
            <w:r>
              <w:rPr>
                <w:rFonts w:hint="default" w:ascii="Times New Roman" w:hAnsi="Times New Roman" w:eastAsia="仿宋_GB2312" w:cs="Times New Roman"/>
                <w:color w:val="000000"/>
                <w:sz w:val="20"/>
                <w:szCs w:val="20"/>
              </w:rPr>
              <w:t>产业链供应链</w:t>
            </w:r>
            <w:r>
              <w:rPr>
                <w:rFonts w:hint="eastAsia" w:ascii="Times New Roman" w:hAnsi="Times New Roman" w:eastAsia="仿宋_GB2312" w:cs="Times New Roman"/>
                <w:color w:val="000000"/>
                <w:sz w:val="20"/>
                <w:szCs w:val="20"/>
                <w:lang w:eastAsia="zh-CN"/>
              </w:rPr>
              <w:t>持续</w:t>
            </w:r>
            <w:r>
              <w:rPr>
                <w:rFonts w:hint="default" w:ascii="Times New Roman" w:hAnsi="Times New Roman" w:eastAsia="仿宋_GB2312" w:cs="Times New Roman"/>
                <w:color w:val="000000"/>
                <w:sz w:val="20"/>
                <w:szCs w:val="20"/>
              </w:rPr>
              <w:t>稳定</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工业企业能耗</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lang w:val="en-US"/>
              </w:rPr>
              <w:t>2</w:t>
            </w:r>
            <w:r>
              <w:rPr>
                <w:rFonts w:hint="eastAsia" w:ascii="Times New Roman" w:hAnsi="Times New Roman" w:eastAsia="仿宋_GB2312" w:cs="Times New Roman"/>
                <w:color w:val="000000"/>
                <w:sz w:val="20"/>
                <w:szCs w:val="20"/>
                <w:lang w:val="en-US" w:eastAsia="zh-CN"/>
              </w:rPr>
              <w:t>%</w:t>
            </w:r>
          </w:p>
        </w:tc>
        <w:tc>
          <w:tcPr>
            <w:tcW w:w="1132" w:type="dxa"/>
            <w:tcBorders>
              <w:tl2br w:val="nil"/>
              <w:tr2bl w:val="nil"/>
            </w:tcBorders>
            <w:noWrap w:val="0"/>
            <w:vAlign w:val="center"/>
          </w:tcPr>
          <w:p>
            <w:pPr>
              <w:pStyle w:val="18"/>
              <w:keepNext w:val="0"/>
              <w:keepLines w:val="0"/>
              <w:pageBreakBefore w:val="0"/>
              <w:widowControl w:val="0"/>
              <w:suppressLineNumbers w:val="0"/>
              <w:kinsoku/>
              <w:wordWrap/>
              <w:overflowPunct/>
              <w:topLinePunct w:val="0"/>
              <w:autoSpaceDE/>
              <w:autoSpaceDN/>
              <w:bidi w:val="0"/>
              <w:spacing w:before="0" w:beforeAutospacing="0" w:after="240" w:afterAutospacing="0"/>
              <w:ind w:left="150" w:right="150"/>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2"/>
                <w:sz w:val="20"/>
                <w:szCs w:val="20"/>
                <w:lang w:val="en-US" w:eastAsia="zh-CN" w:bidi="ar-SA"/>
              </w:rPr>
              <w:t>规模工业单位增加值能耗下降13%</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rPr>
              <w:t>3</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rPr>
              <w:t>3</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产业知名度、影响力</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进一步提升</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rPr>
              <w:t>产业的知名度和影响力</w:t>
            </w:r>
            <w:r>
              <w:rPr>
                <w:rFonts w:hint="default" w:ascii="Times New Roman" w:hAnsi="Times New Roman" w:eastAsia="仿宋_GB2312" w:cs="Times New Roman"/>
                <w:color w:val="000000"/>
                <w:sz w:val="20"/>
                <w:szCs w:val="20"/>
                <w:lang w:val="en-US"/>
              </w:rPr>
              <w:t>持续扩大</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rPr>
              <w:t>2</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rPr>
              <w:t>2</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lang w:val="en-US"/>
              </w:rPr>
              <w:t>85</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rPr>
              <w:t>90%</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rPr>
              <w:t>10</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rPr>
              <w:t>10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成本指标（20分）</w:t>
            </w: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链办工作经费</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eastAsia" w:ascii="东文宋体" w:hAnsi="东文宋体" w:eastAsia="东文宋体" w:cs="东文宋体"/>
                <w:color w:val="000000"/>
                <w:sz w:val="20"/>
                <w:szCs w:val="20"/>
              </w:rPr>
              <w:t>≤</w:t>
            </w:r>
            <w:r>
              <w:rPr>
                <w:rFonts w:hint="default" w:ascii="Times New Roman" w:hAnsi="Times New Roman" w:eastAsia="仿宋_GB2312" w:cs="Times New Roman"/>
                <w:color w:val="000000"/>
                <w:sz w:val="20"/>
                <w:szCs w:val="20"/>
                <w:lang w:val="en-US"/>
              </w:rPr>
              <w:t>50</w:t>
            </w:r>
            <w:r>
              <w:rPr>
                <w:rFonts w:hint="eastAsia" w:ascii="Times New Roman" w:hAnsi="Times New Roman" w:eastAsia="仿宋_GB2312" w:cs="Times New Roman"/>
                <w:color w:val="000000"/>
                <w:sz w:val="20"/>
                <w:szCs w:val="20"/>
                <w:lang w:val="en-US" w:eastAsia="zh-CN"/>
              </w:rPr>
              <w:t>万元</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rPr>
              <w:t>8.23</w:t>
            </w:r>
            <w:r>
              <w:rPr>
                <w:rFonts w:hint="eastAsia" w:ascii="Times New Roman" w:hAnsi="Times New Roman" w:eastAsia="仿宋_GB2312" w:cs="Times New Roman"/>
                <w:color w:val="000000"/>
                <w:sz w:val="20"/>
                <w:szCs w:val="20"/>
                <w:lang w:val="en-US" w:eastAsia="zh-CN"/>
              </w:rPr>
              <w:t>万元</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rPr>
              <w:t>20</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rPr>
              <w:t>20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rPr>
              <w:t>/</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left"/>
              <w:rPr>
                <w:rFonts w:hint="default" w:ascii="Times New Roman" w:hAnsi="Times New Roman" w:eastAsia="仿宋_GB2312" w:cs="Times New Roman"/>
                <w:color w:val="000000"/>
                <w:sz w:val="20"/>
                <w:szCs w:val="20"/>
              </w:rPr>
            </w:pP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2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rPr>
              <w:t>/</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1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722"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left"/>
              <w:rPr>
                <w:rFonts w:hint="default" w:ascii="Times New Roman" w:hAnsi="Times New Roman" w:eastAsia="仿宋_GB2312" w:cs="Times New Roman"/>
                <w:color w:val="000000"/>
                <w:sz w:val="20"/>
                <w:szCs w:val="20"/>
              </w:rPr>
            </w:pPr>
          </w:p>
        </w:tc>
      </w:tr>
    </w:tbl>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jc w:val="left"/>
        <w:rPr>
          <w:rFonts w:hint="default" w:ascii="Times New Roman" w:hAnsi="Times New Roman" w:eastAsia="仿宋_GB2312" w:cs="Times New Roman"/>
          <w:sz w:val="28"/>
          <w:szCs w:val="28"/>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jc w:val="left"/>
        <w:rPr>
          <w:rFonts w:hint="default" w:ascii="Times New Roman" w:hAnsi="Times New Roman" w:eastAsia="仿宋_GB2312" w:cs="Times New Roman"/>
          <w:sz w:val="28"/>
          <w:szCs w:val="28"/>
        </w:rPr>
      </w:pPr>
    </w:p>
    <w:p>
      <w:pPr>
        <w:keepNext w:val="0"/>
        <w:keepLines w:val="0"/>
        <w:pageBreakBefore w:val="0"/>
        <w:widowControl w:val="0"/>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default" w:ascii="Times New Roman" w:hAnsi="Times New Roman" w:eastAsia="方正小标宋简体" w:cs="Times New Roman"/>
          <w:b w:val="0"/>
          <w:bCs w:val="0"/>
          <w:color w:val="000000"/>
          <w:kern w:val="0"/>
          <w:sz w:val="41"/>
          <w:szCs w:val="41"/>
          <w:highlight w:val="none"/>
          <w:lang w:eastAsia="zh-CN" w:bidi="ar"/>
        </w:rPr>
      </w:pPr>
      <w:r>
        <w:rPr>
          <w:rFonts w:hint="default" w:ascii="Times New Roman" w:hAnsi="Times New Roman" w:eastAsia="仿宋_GB2312" w:cs="Times New Roman"/>
          <w:sz w:val="28"/>
          <w:szCs w:val="28"/>
        </w:rPr>
        <w:br w:type="page"/>
      </w:r>
      <w:r>
        <w:rPr>
          <w:rFonts w:hint="default" w:ascii="Times New Roman" w:hAnsi="Times New Roman" w:eastAsia="方正小标宋简体" w:cs="Times New Roman"/>
          <w:b w:val="0"/>
          <w:bCs w:val="0"/>
          <w:color w:val="000000"/>
          <w:kern w:val="0"/>
          <w:sz w:val="41"/>
          <w:szCs w:val="41"/>
          <w:highlight w:val="none"/>
          <w:lang w:bidi="ar"/>
        </w:rPr>
        <w:t>大唐华银株洲两家电厂固体废物综合利用</w:t>
      </w:r>
    </w:p>
    <w:p>
      <w:pPr>
        <w:keepNext w:val="0"/>
        <w:keepLines w:val="0"/>
        <w:pageBreakBefore w:val="0"/>
        <w:widowControl w:val="0"/>
        <w:kinsoku/>
        <w:wordWrap/>
        <w:overflowPunct/>
        <w:topLinePunct w:val="0"/>
        <w:autoSpaceDE/>
        <w:autoSpaceDN/>
        <w:bidi w:val="0"/>
        <w:spacing w:line="578" w:lineRule="exact"/>
        <w:jc w:val="center"/>
        <w:textAlignment w:val="auto"/>
        <w:rPr>
          <w:rFonts w:hint="default" w:ascii="Times New Roman" w:hAnsi="Times New Roman" w:cs="Times New Roman"/>
          <w:b w:val="0"/>
          <w:bCs w:val="0"/>
          <w:highlight w:val="none"/>
        </w:rPr>
      </w:pPr>
      <w:r>
        <w:rPr>
          <w:rFonts w:hint="default" w:ascii="Times New Roman" w:hAnsi="Times New Roman" w:eastAsia="方正小标宋简体" w:cs="Times New Roman"/>
          <w:b w:val="0"/>
          <w:bCs w:val="0"/>
          <w:color w:val="000000"/>
          <w:kern w:val="0"/>
          <w:sz w:val="41"/>
          <w:szCs w:val="41"/>
          <w:highlight w:val="none"/>
          <w:lang w:eastAsia="zh-CN" w:bidi="ar"/>
        </w:rPr>
        <w:t>复核经费</w:t>
      </w:r>
      <w:r>
        <w:rPr>
          <w:rFonts w:hint="default" w:ascii="Times New Roman" w:hAnsi="Times New Roman" w:eastAsia="方正小标宋简体" w:cs="Times New Roman"/>
          <w:b w:val="0"/>
          <w:bCs w:val="0"/>
          <w:color w:val="000000"/>
          <w:kern w:val="0"/>
          <w:sz w:val="41"/>
          <w:szCs w:val="41"/>
          <w:highlight w:val="none"/>
          <w:lang w:bidi="ar"/>
        </w:rPr>
        <w:t>绩效自评报告</w:t>
      </w:r>
    </w:p>
    <w:p>
      <w:pPr>
        <w:keepNext w:val="0"/>
        <w:keepLines w:val="0"/>
        <w:pageBreakBefore w:val="0"/>
        <w:widowControl w:val="0"/>
        <w:kinsoku/>
        <w:wordWrap/>
        <w:overflowPunct/>
        <w:topLinePunct w:val="0"/>
        <w:autoSpaceDE/>
        <w:autoSpaceDN/>
        <w:bidi w:val="0"/>
        <w:spacing w:line="578" w:lineRule="exact"/>
        <w:jc w:val="center"/>
        <w:textAlignment w:val="auto"/>
        <w:rPr>
          <w:rFonts w:hint="default" w:ascii="Times New Roman" w:hAnsi="Times New Roman" w:eastAsia="楷体_GB2312" w:cs="Times New Roman"/>
          <w:b w:val="0"/>
          <w:bCs w:val="0"/>
          <w:color w:val="000000"/>
          <w:kern w:val="0"/>
          <w:sz w:val="32"/>
          <w:szCs w:val="32"/>
          <w:highlight w:val="none"/>
          <w:lang w:bidi="ar"/>
        </w:rPr>
      </w:pPr>
    </w:p>
    <w:p>
      <w:pPr>
        <w:keepNext w:val="0"/>
        <w:keepLines w:val="0"/>
        <w:pageBreakBefore w:val="0"/>
        <w:widowControl w:val="0"/>
        <w:kinsoku/>
        <w:wordWrap/>
        <w:overflowPunct/>
        <w:topLinePunct w:val="0"/>
        <w:autoSpaceDE/>
        <w:autoSpaceDN/>
        <w:bidi w:val="0"/>
        <w:spacing w:line="578" w:lineRule="exact"/>
        <w:ind w:firstLine="620" w:firstLineChars="200"/>
        <w:textAlignment w:val="auto"/>
        <w:rPr>
          <w:rFonts w:hint="default" w:ascii="Times New Roman" w:hAnsi="Times New Roman" w:cs="Times New Roman"/>
          <w:b w:val="0"/>
          <w:bCs w:val="0"/>
          <w:highlight w:val="none"/>
        </w:rPr>
      </w:pPr>
      <w:r>
        <w:rPr>
          <w:rFonts w:hint="default" w:ascii="Times New Roman" w:hAnsi="Times New Roman" w:eastAsia="黑体" w:cs="Times New Roman"/>
          <w:b w:val="0"/>
          <w:bCs w:val="0"/>
          <w:color w:val="000000"/>
          <w:kern w:val="0"/>
          <w:sz w:val="31"/>
          <w:szCs w:val="31"/>
          <w:highlight w:val="none"/>
          <w:lang w:bidi="ar"/>
        </w:rPr>
        <w:t>一、预算收支出情况</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0"/>
          <w:sz w:val="32"/>
          <w:szCs w:val="32"/>
          <w:highlight w:val="none"/>
          <w:lang w:bidi="ar"/>
        </w:rPr>
        <w:t>2024年预算4.8万元，其中年初预算</w:t>
      </w:r>
      <w:r>
        <w:rPr>
          <w:rFonts w:hint="eastAsia" w:ascii="Times New Roman" w:hAnsi="Times New Roman" w:eastAsia="仿宋_GB2312" w:cs="Times New Roman"/>
          <w:b w:val="0"/>
          <w:bCs w:val="0"/>
          <w:color w:val="000000"/>
          <w:kern w:val="0"/>
          <w:sz w:val="32"/>
          <w:szCs w:val="32"/>
          <w:highlight w:val="none"/>
          <w:lang w:val="en-US" w:eastAsia="zh-CN" w:bidi="ar"/>
        </w:rPr>
        <w:t>4.8</w:t>
      </w:r>
      <w:r>
        <w:rPr>
          <w:rFonts w:hint="default" w:ascii="Times New Roman" w:hAnsi="Times New Roman" w:eastAsia="仿宋_GB2312" w:cs="Times New Roman"/>
          <w:b w:val="0"/>
          <w:bCs w:val="0"/>
          <w:color w:val="000000"/>
          <w:kern w:val="0"/>
          <w:sz w:val="32"/>
          <w:szCs w:val="32"/>
          <w:highlight w:val="none"/>
          <w:lang w:bidi="ar"/>
        </w:rPr>
        <w:t xml:space="preserve">万元，实际支出4.8万元。 </w:t>
      </w:r>
    </w:p>
    <w:p>
      <w:pPr>
        <w:keepNext w:val="0"/>
        <w:keepLines w:val="0"/>
        <w:pageBreakBefore w:val="0"/>
        <w:widowControl w:val="0"/>
        <w:kinsoku/>
        <w:wordWrap/>
        <w:overflowPunct/>
        <w:topLinePunct w:val="0"/>
        <w:autoSpaceDE/>
        <w:autoSpaceDN/>
        <w:bidi w:val="0"/>
        <w:spacing w:line="578" w:lineRule="exact"/>
        <w:ind w:firstLine="620" w:firstLineChars="200"/>
        <w:textAlignment w:val="auto"/>
        <w:rPr>
          <w:rFonts w:hint="default" w:ascii="Times New Roman" w:hAnsi="Times New Roman" w:cs="Times New Roman"/>
          <w:b w:val="0"/>
          <w:bCs w:val="0"/>
          <w:highlight w:val="none"/>
        </w:rPr>
      </w:pPr>
      <w:r>
        <w:rPr>
          <w:rFonts w:hint="default" w:ascii="Times New Roman" w:hAnsi="Times New Roman" w:eastAsia="黑体" w:cs="Times New Roman"/>
          <w:b w:val="0"/>
          <w:bCs w:val="0"/>
          <w:color w:val="000000"/>
          <w:kern w:val="0"/>
          <w:sz w:val="31"/>
          <w:szCs w:val="31"/>
          <w:highlight w:val="none"/>
          <w:lang w:bidi="ar"/>
        </w:rPr>
        <w:t>二、项目支出绩效情况</w:t>
      </w:r>
      <w:r>
        <w:rPr>
          <w:rFonts w:hint="default" w:ascii="Times New Roman" w:hAnsi="Times New Roman" w:eastAsia="楷体" w:cs="Times New Roman"/>
          <w:b w:val="0"/>
          <w:bCs w:val="0"/>
          <w:color w:val="000000"/>
          <w:kern w:val="0"/>
          <w:sz w:val="31"/>
          <w:szCs w:val="31"/>
          <w:highlight w:val="none"/>
          <w:lang w:bidi="ar"/>
        </w:rPr>
        <w:t xml:space="preserve"> </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bidi="ar"/>
        </w:rPr>
      </w:pPr>
      <w:r>
        <w:rPr>
          <w:rFonts w:hint="default" w:ascii="Times New Roman" w:hAnsi="Times New Roman" w:eastAsia="仿宋_GB2312" w:cs="Times New Roman"/>
          <w:b w:val="0"/>
          <w:bCs w:val="0"/>
          <w:color w:val="000000"/>
          <w:kern w:val="0"/>
          <w:sz w:val="32"/>
          <w:szCs w:val="32"/>
          <w:highlight w:val="none"/>
          <w:lang w:bidi="ar"/>
        </w:rPr>
        <w:t>2024年市经济信息产业发展专项支出4.8万元，主要用于强化对大唐华银株洲两家电厂固体废物综合利用情况的监管，确保资源合理利用与环境安全，聘请第三方机构开展复核工作。项目实施及绩效情况如下：</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bidi="ar"/>
        </w:rPr>
      </w:pPr>
      <w:r>
        <w:rPr>
          <w:rFonts w:hint="default" w:ascii="Times New Roman" w:hAnsi="Times New Roman" w:eastAsia="楷体_GB2312" w:cs="Times New Roman"/>
          <w:b w:val="0"/>
          <w:bCs w:val="0"/>
          <w:color w:val="000000"/>
          <w:kern w:val="0"/>
          <w:sz w:val="32"/>
          <w:szCs w:val="32"/>
          <w:highlight w:val="none"/>
          <w:lang w:bidi="ar"/>
        </w:rPr>
        <w:t>（一）资金管理</w:t>
      </w:r>
      <w:r>
        <w:rPr>
          <w:rFonts w:hint="eastAsia" w:ascii="Times New Roman" w:hAnsi="Times New Roman" w:eastAsia="楷体_GB2312" w:cs="Times New Roman"/>
          <w:b w:val="0"/>
          <w:bCs w:val="0"/>
          <w:color w:val="000000"/>
          <w:kern w:val="0"/>
          <w:sz w:val="32"/>
          <w:szCs w:val="32"/>
          <w:highlight w:val="none"/>
          <w:lang w:eastAsia="zh-CN" w:bidi="ar"/>
        </w:rPr>
        <w:t>。</w:t>
      </w:r>
      <w:r>
        <w:rPr>
          <w:rFonts w:hint="default" w:ascii="Times New Roman" w:hAnsi="Times New Roman" w:eastAsia="仿宋_GB2312" w:cs="Times New Roman"/>
          <w:b w:val="0"/>
          <w:bCs w:val="0"/>
          <w:color w:val="000000"/>
          <w:kern w:val="0"/>
          <w:sz w:val="32"/>
          <w:szCs w:val="32"/>
          <w:highlight w:val="none"/>
          <w:lang w:bidi="ar"/>
        </w:rPr>
        <w:t>专项资金严格遵循专款专用原则，无截留、挪用现象。资金支出审批流程完备，每笔费用均有详细记录与凭证，保障资金使用透明、合规。经审查，资金使用与预算安排高度契合，预算执行率达100%，资金使用效率高。</w:t>
      </w:r>
    </w:p>
    <w:p>
      <w:pPr>
        <w:keepNext w:val="0"/>
        <w:keepLines w:val="0"/>
        <w:pageBreakBefore w:val="0"/>
        <w:widowControl w:val="0"/>
        <w:kinsoku/>
        <w:wordWrap/>
        <w:overflowPunct/>
        <w:topLinePunct w:val="0"/>
        <w:autoSpaceDE/>
        <w:autoSpaceDN/>
        <w:bidi w:val="0"/>
        <w:spacing w:line="578" w:lineRule="exact"/>
        <w:ind w:firstLine="625"/>
        <w:textAlignment w:val="auto"/>
        <w:rPr>
          <w:rFonts w:hint="default" w:ascii="Times New Roman" w:hAnsi="Times New Roman" w:eastAsia="仿宋_GB2312" w:cs="Times New Roman"/>
          <w:b w:val="0"/>
          <w:bCs w:val="0"/>
          <w:color w:val="000000"/>
          <w:kern w:val="0"/>
          <w:sz w:val="32"/>
          <w:szCs w:val="32"/>
          <w:highlight w:val="none"/>
          <w:lang w:bidi="ar"/>
        </w:rPr>
      </w:pPr>
      <w:r>
        <w:rPr>
          <w:rFonts w:hint="default" w:ascii="Times New Roman" w:hAnsi="Times New Roman" w:eastAsia="楷体_GB2312" w:cs="Times New Roman"/>
          <w:b w:val="0"/>
          <w:bCs w:val="0"/>
          <w:color w:val="000000"/>
          <w:kern w:val="0"/>
          <w:sz w:val="32"/>
          <w:szCs w:val="32"/>
          <w:highlight w:val="none"/>
          <w:lang w:bidi="ar"/>
        </w:rPr>
        <w:t>（二）报告完成情况</w:t>
      </w:r>
      <w:r>
        <w:rPr>
          <w:rFonts w:hint="eastAsia" w:ascii="Times New Roman" w:hAnsi="Times New Roman" w:eastAsia="楷体_GB2312" w:cs="Times New Roman"/>
          <w:b w:val="0"/>
          <w:bCs w:val="0"/>
          <w:color w:val="000000"/>
          <w:kern w:val="0"/>
          <w:sz w:val="32"/>
          <w:szCs w:val="32"/>
          <w:highlight w:val="none"/>
          <w:lang w:eastAsia="zh-CN" w:bidi="ar"/>
        </w:rPr>
        <w:t>。</w:t>
      </w:r>
      <w:r>
        <w:rPr>
          <w:rFonts w:hint="default" w:ascii="Times New Roman" w:hAnsi="Times New Roman" w:eastAsia="仿宋_GB2312" w:cs="Times New Roman"/>
          <w:b w:val="0"/>
          <w:bCs w:val="0"/>
          <w:color w:val="000000"/>
          <w:kern w:val="0"/>
          <w:sz w:val="32"/>
          <w:szCs w:val="32"/>
          <w:highlight w:val="none"/>
          <w:lang w:bidi="ar"/>
        </w:rPr>
        <w:t>第三方机构按时提交大唐华银株洲两家电厂工业固体废物综合利用情况复核报告，报告内容完整，涵盖两家电厂工业固废综合利用生</w:t>
      </w:r>
      <w:r>
        <w:rPr>
          <w:rFonts w:hint="eastAsia" w:ascii="仿宋_GB2312" w:hAnsi="仿宋_GB2312" w:eastAsia="仿宋_GB2312" w:cs="仿宋_GB2312"/>
          <w:b w:val="0"/>
          <w:bCs w:val="0"/>
          <w:color w:val="000000"/>
          <w:kern w:val="0"/>
          <w:sz w:val="32"/>
          <w:szCs w:val="32"/>
          <w:highlight w:val="none"/>
          <w:lang w:bidi="ar"/>
        </w:rPr>
        <w:t>产能力、原料来源、生产工艺技术、生产设备及水平、生产产品质量</w:t>
      </w:r>
      <w:r>
        <w:rPr>
          <w:rFonts w:hint="default" w:ascii="Times New Roman" w:hAnsi="Times New Roman" w:eastAsia="仿宋_GB2312" w:cs="Times New Roman"/>
          <w:b w:val="0"/>
          <w:bCs w:val="0"/>
          <w:color w:val="000000"/>
          <w:kern w:val="0"/>
          <w:sz w:val="32"/>
          <w:szCs w:val="32"/>
          <w:highlight w:val="none"/>
          <w:lang w:bidi="ar"/>
        </w:rPr>
        <w:t>及综合利用全流程信息，对电厂工业固废综合利用情况进行较全面复核。</w:t>
      </w:r>
    </w:p>
    <w:p>
      <w:pPr>
        <w:keepNext w:val="0"/>
        <w:keepLines w:val="0"/>
        <w:pageBreakBefore w:val="0"/>
        <w:widowControl w:val="0"/>
        <w:kinsoku/>
        <w:wordWrap/>
        <w:overflowPunct/>
        <w:topLinePunct w:val="0"/>
        <w:autoSpaceDE/>
        <w:autoSpaceDN/>
        <w:bidi w:val="0"/>
        <w:spacing w:line="578" w:lineRule="exact"/>
        <w:ind w:firstLine="625"/>
        <w:textAlignment w:val="auto"/>
        <w:rPr>
          <w:rFonts w:hint="default" w:ascii="Times New Roman" w:hAnsi="Times New Roman" w:eastAsia="仿宋_GB2312" w:cs="Times New Roman"/>
          <w:b w:val="0"/>
          <w:bCs w:val="0"/>
          <w:color w:val="000000"/>
          <w:kern w:val="0"/>
          <w:sz w:val="32"/>
          <w:szCs w:val="32"/>
          <w:highlight w:val="none"/>
          <w:lang w:bidi="ar"/>
        </w:rPr>
      </w:pPr>
      <w:r>
        <w:rPr>
          <w:rFonts w:hint="default" w:ascii="Times New Roman" w:hAnsi="Times New Roman" w:eastAsia="仿宋_GB2312" w:cs="Times New Roman"/>
          <w:b w:val="0"/>
          <w:bCs w:val="0"/>
          <w:color w:val="000000"/>
          <w:kern w:val="0"/>
          <w:sz w:val="32"/>
          <w:szCs w:val="32"/>
          <w:highlight w:val="none"/>
          <w:lang w:bidi="ar"/>
        </w:rPr>
        <w:t>（</w:t>
      </w:r>
      <w:r>
        <w:rPr>
          <w:rFonts w:hint="default" w:ascii="Times New Roman" w:hAnsi="Times New Roman" w:eastAsia="楷体_GB2312" w:cs="Times New Roman"/>
          <w:b w:val="0"/>
          <w:bCs w:val="0"/>
          <w:color w:val="000000"/>
          <w:kern w:val="0"/>
          <w:sz w:val="32"/>
          <w:szCs w:val="32"/>
          <w:highlight w:val="none"/>
          <w:lang w:bidi="ar"/>
        </w:rPr>
        <w:t>三）复核全面性</w:t>
      </w:r>
      <w:r>
        <w:rPr>
          <w:rFonts w:hint="eastAsia" w:ascii="Times New Roman" w:hAnsi="Times New Roman" w:eastAsia="楷体_GB2312" w:cs="Times New Roman"/>
          <w:b w:val="0"/>
          <w:bCs w:val="0"/>
          <w:color w:val="000000"/>
          <w:kern w:val="0"/>
          <w:sz w:val="32"/>
          <w:szCs w:val="32"/>
          <w:highlight w:val="none"/>
          <w:lang w:eastAsia="zh-CN" w:bidi="ar"/>
        </w:rPr>
        <w:t>。</w:t>
      </w:r>
      <w:r>
        <w:rPr>
          <w:rFonts w:hint="default" w:ascii="Times New Roman" w:hAnsi="Times New Roman" w:eastAsia="仿宋_GB2312" w:cs="Times New Roman"/>
          <w:b w:val="0"/>
          <w:bCs w:val="0"/>
          <w:color w:val="000000"/>
          <w:kern w:val="0"/>
          <w:sz w:val="32"/>
          <w:szCs w:val="32"/>
          <w:highlight w:val="none"/>
          <w:lang w:bidi="ar"/>
        </w:rPr>
        <w:t>实地核查覆盖两家电厂工业固体废物产生与综合利用环节，并对工业固废综合利用产品随机抽样检测</w:t>
      </w:r>
      <w:r>
        <w:rPr>
          <w:rFonts w:hint="default" w:ascii="Times New Roman" w:hAnsi="Times New Roman" w:eastAsia="仿宋_GB2312" w:cs="Times New Roman"/>
          <w:b w:val="0"/>
          <w:bCs w:val="0"/>
          <w:color w:val="000000"/>
          <w:kern w:val="0"/>
          <w:sz w:val="32"/>
          <w:szCs w:val="32"/>
          <w:highlight w:val="none"/>
          <w:lang w:eastAsia="zh-CN" w:bidi="ar"/>
        </w:rPr>
        <w:t>结果进行</w:t>
      </w:r>
      <w:r>
        <w:rPr>
          <w:rFonts w:hint="default" w:ascii="Times New Roman" w:hAnsi="Times New Roman" w:eastAsia="仿宋_GB2312" w:cs="Times New Roman"/>
          <w:b w:val="0"/>
          <w:bCs w:val="0"/>
          <w:color w:val="000000"/>
          <w:kern w:val="0"/>
          <w:sz w:val="32"/>
          <w:szCs w:val="32"/>
          <w:highlight w:val="none"/>
          <w:lang w:bidi="ar"/>
        </w:rPr>
        <w:t>分析，确保复核无死角，为后续监管提供充分依据。</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bidi="ar"/>
        </w:rPr>
      </w:pPr>
      <w:r>
        <w:rPr>
          <w:rFonts w:hint="default" w:ascii="Times New Roman" w:hAnsi="Times New Roman" w:eastAsia="楷体_GB2312" w:cs="Times New Roman"/>
          <w:b w:val="0"/>
          <w:bCs w:val="0"/>
          <w:color w:val="000000"/>
          <w:kern w:val="0"/>
          <w:sz w:val="32"/>
          <w:szCs w:val="32"/>
          <w:highlight w:val="none"/>
          <w:lang w:bidi="ar"/>
        </w:rPr>
        <w:t>（四）环保效益</w:t>
      </w:r>
      <w:r>
        <w:rPr>
          <w:rFonts w:hint="eastAsia" w:ascii="Times New Roman" w:hAnsi="Times New Roman" w:eastAsia="楷体_GB2312" w:cs="Times New Roman"/>
          <w:b w:val="0"/>
          <w:bCs w:val="0"/>
          <w:color w:val="000000"/>
          <w:kern w:val="0"/>
          <w:sz w:val="32"/>
          <w:szCs w:val="32"/>
          <w:highlight w:val="none"/>
          <w:lang w:eastAsia="zh-CN" w:bidi="ar"/>
        </w:rPr>
        <w:t>。</w:t>
      </w:r>
      <w:r>
        <w:rPr>
          <w:rFonts w:hint="default" w:ascii="Times New Roman" w:hAnsi="Times New Roman" w:eastAsia="仿宋_GB2312" w:cs="Times New Roman"/>
          <w:b w:val="0"/>
          <w:bCs w:val="0"/>
          <w:color w:val="000000"/>
          <w:kern w:val="0"/>
          <w:sz w:val="32"/>
          <w:szCs w:val="32"/>
          <w:highlight w:val="none"/>
          <w:lang w:bidi="ar"/>
        </w:rPr>
        <w:t>通过复核，促使两</w:t>
      </w:r>
      <w:r>
        <w:rPr>
          <w:rFonts w:hint="default" w:ascii="Times New Roman" w:hAnsi="Times New Roman" w:eastAsia="仿宋_GB2312" w:cs="Times New Roman"/>
          <w:b w:val="0"/>
          <w:bCs w:val="0"/>
          <w:color w:val="000000"/>
          <w:kern w:val="0"/>
          <w:sz w:val="32"/>
          <w:szCs w:val="32"/>
          <w:highlight w:val="none"/>
          <w:lang w:eastAsia="zh-CN" w:bidi="ar"/>
        </w:rPr>
        <w:t>家</w:t>
      </w:r>
      <w:r>
        <w:rPr>
          <w:rFonts w:hint="default" w:ascii="Times New Roman" w:hAnsi="Times New Roman" w:eastAsia="仿宋_GB2312" w:cs="Times New Roman"/>
          <w:b w:val="0"/>
          <w:bCs w:val="0"/>
          <w:color w:val="000000"/>
          <w:kern w:val="0"/>
          <w:sz w:val="32"/>
          <w:szCs w:val="32"/>
          <w:highlight w:val="none"/>
          <w:lang w:bidi="ar"/>
        </w:rPr>
        <w:t>电厂加强固废综合利用产品质量管理，提升固废综合利用率，促进企业绿色发展，有效减少固体废物排放，降低对周边土壤、水体污染风险，改善区域生态环境。</w:t>
      </w:r>
    </w:p>
    <w:p>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仿宋_GB2312" w:cs="Times New Roman"/>
          <w:b w:val="0"/>
          <w:bCs w:val="0"/>
          <w:color w:val="000000"/>
          <w:kern w:val="0"/>
          <w:sz w:val="32"/>
          <w:szCs w:val="32"/>
          <w:highlight w:val="none"/>
          <w:lang w:bidi="ar"/>
        </w:rPr>
      </w:pPr>
      <w:r>
        <w:rPr>
          <w:rFonts w:hint="default" w:ascii="Times New Roman" w:hAnsi="Times New Roman" w:eastAsia="楷体_GB2312" w:cs="Times New Roman"/>
          <w:b w:val="0"/>
          <w:bCs w:val="0"/>
          <w:color w:val="000000"/>
          <w:kern w:val="0"/>
          <w:sz w:val="32"/>
          <w:szCs w:val="32"/>
          <w:highlight w:val="none"/>
          <w:lang w:bidi="ar"/>
        </w:rPr>
        <w:t>（五）满意度指标</w:t>
      </w:r>
      <w:r>
        <w:rPr>
          <w:rFonts w:hint="eastAsia" w:ascii="Times New Roman" w:hAnsi="Times New Roman" w:eastAsia="楷体_GB2312" w:cs="Times New Roman"/>
          <w:b w:val="0"/>
          <w:bCs w:val="0"/>
          <w:color w:val="000000"/>
          <w:kern w:val="0"/>
          <w:sz w:val="32"/>
          <w:szCs w:val="32"/>
          <w:highlight w:val="none"/>
          <w:lang w:eastAsia="zh-CN" w:bidi="ar"/>
        </w:rPr>
        <w:t>。</w:t>
      </w:r>
      <w:r>
        <w:rPr>
          <w:rFonts w:hint="default" w:ascii="Times New Roman" w:hAnsi="Times New Roman" w:eastAsia="仿宋_GB2312" w:cs="Times New Roman"/>
          <w:b w:val="0"/>
          <w:bCs w:val="0"/>
          <w:color w:val="000000"/>
          <w:kern w:val="0"/>
          <w:sz w:val="32"/>
          <w:szCs w:val="32"/>
          <w:highlight w:val="none"/>
          <w:lang w:bidi="ar"/>
        </w:rPr>
        <w:t>通过访谈，市场监管局、市税务局对复核工作满意度达90%以上，认为报告数据为决策提供有力支撑；电厂对第三方工作配合度较高，满意度为90%，认可复核过程专业、公正，有助于企业改进环保工作。</w:t>
      </w:r>
    </w:p>
    <w:p>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黑体_GBK" w:cs="Times New Roman"/>
          <w:b w:val="0"/>
          <w:bCs w:val="0"/>
          <w:color w:val="000000"/>
          <w:kern w:val="0"/>
          <w:sz w:val="32"/>
          <w:szCs w:val="32"/>
          <w:highlight w:val="none"/>
          <w:lang w:bidi="ar"/>
        </w:rPr>
      </w:pPr>
      <w:r>
        <w:rPr>
          <w:rFonts w:hint="default" w:ascii="Times New Roman" w:hAnsi="Times New Roman" w:eastAsia="方正黑体_GBK" w:cs="Times New Roman"/>
          <w:b w:val="0"/>
          <w:bCs w:val="0"/>
          <w:color w:val="000000"/>
          <w:kern w:val="0"/>
          <w:sz w:val="32"/>
          <w:szCs w:val="32"/>
          <w:highlight w:val="none"/>
          <w:lang w:bidi="ar"/>
        </w:rPr>
        <w:t>三、存在的不足</w:t>
      </w:r>
    </w:p>
    <w:p>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仿宋_GB2312" w:cs="Times New Roman"/>
          <w:b w:val="0"/>
          <w:bCs w:val="0"/>
          <w:color w:val="000000"/>
          <w:kern w:val="0"/>
          <w:sz w:val="32"/>
          <w:szCs w:val="32"/>
          <w:highlight w:val="none"/>
          <w:lang w:bidi="ar"/>
        </w:rPr>
      </w:pPr>
      <w:r>
        <w:rPr>
          <w:rFonts w:hint="eastAsia" w:ascii="Times New Roman" w:hAnsi="Times New Roman" w:eastAsia="楷体_GB2312" w:cs="Times New Roman"/>
          <w:b w:val="0"/>
          <w:bCs w:val="0"/>
          <w:color w:val="000000"/>
          <w:kern w:val="0"/>
          <w:sz w:val="32"/>
          <w:szCs w:val="32"/>
          <w:highlight w:val="none"/>
          <w:lang w:eastAsia="zh-CN" w:bidi="ar"/>
        </w:rPr>
        <w:t>（一）</w:t>
      </w:r>
      <w:r>
        <w:rPr>
          <w:rFonts w:hint="default" w:ascii="Times New Roman" w:hAnsi="Times New Roman" w:eastAsia="楷体_GB2312" w:cs="Times New Roman"/>
          <w:b w:val="0"/>
          <w:bCs w:val="0"/>
          <w:color w:val="000000"/>
          <w:kern w:val="0"/>
          <w:sz w:val="32"/>
          <w:szCs w:val="32"/>
          <w:highlight w:val="none"/>
          <w:lang w:bidi="ar"/>
        </w:rPr>
        <w:t>数据深度不足</w:t>
      </w:r>
      <w:r>
        <w:rPr>
          <w:rFonts w:hint="eastAsia" w:ascii="Times New Roman" w:hAnsi="Times New Roman" w:eastAsia="楷体_GB2312" w:cs="Times New Roman"/>
          <w:b w:val="0"/>
          <w:bCs w:val="0"/>
          <w:color w:val="000000"/>
          <w:kern w:val="0"/>
          <w:sz w:val="32"/>
          <w:szCs w:val="32"/>
          <w:highlight w:val="none"/>
          <w:lang w:eastAsia="zh-CN" w:bidi="ar"/>
        </w:rPr>
        <w:t>。</w:t>
      </w:r>
      <w:r>
        <w:rPr>
          <w:rFonts w:hint="default" w:ascii="Times New Roman" w:hAnsi="Times New Roman" w:eastAsia="仿宋_GB2312" w:cs="Times New Roman"/>
          <w:b w:val="0"/>
          <w:bCs w:val="0"/>
          <w:color w:val="000000"/>
          <w:kern w:val="0"/>
          <w:sz w:val="32"/>
          <w:szCs w:val="32"/>
          <w:highlight w:val="none"/>
          <w:lang w:bidi="ar"/>
        </w:rPr>
        <w:t>部分历史数据追溯困难，导致在分析固体废物综合利用率长期变化趋势时存在局限性。</w:t>
      </w:r>
    </w:p>
    <w:p>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仿宋_GB2312" w:cs="Times New Roman"/>
          <w:b w:val="0"/>
          <w:bCs w:val="0"/>
          <w:color w:val="000000"/>
          <w:kern w:val="0"/>
          <w:sz w:val="32"/>
          <w:szCs w:val="32"/>
          <w:highlight w:val="none"/>
          <w:lang w:bidi="ar"/>
        </w:rPr>
      </w:pPr>
      <w:r>
        <w:rPr>
          <w:rFonts w:hint="eastAsia" w:ascii="Times New Roman" w:hAnsi="Times New Roman" w:eastAsia="楷体_GB2312" w:cs="Times New Roman"/>
          <w:b w:val="0"/>
          <w:bCs w:val="0"/>
          <w:color w:val="000000"/>
          <w:kern w:val="0"/>
          <w:sz w:val="32"/>
          <w:szCs w:val="32"/>
          <w:highlight w:val="none"/>
          <w:lang w:eastAsia="zh-CN" w:bidi="ar"/>
        </w:rPr>
        <w:t>（二）</w:t>
      </w:r>
      <w:r>
        <w:rPr>
          <w:rFonts w:hint="default" w:ascii="Times New Roman" w:hAnsi="Times New Roman" w:eastAsia="楷体_GB2312" w:cs="Times New Roman"/>
          <w:b w:val="0"/>
          <w:bCs w:val="0"/>
          <w:color w:val="000000"/>
          <w:kern w:val="0"/>
          <w:sz w:val="32"/>
          <w:szCs w:val="32"/>
          <w:highlight w:val="none"/>
          <w:lang w:bidi="ar"/>
        </w:rPr>
        <w:t>协同效率待提升</w:t>
      </w:r>
      <w:r>
        <w:rPr>
          <w:rFonts w:hint="eastAsia" w:ascii="Times New Roman" w:hAnsi="Times New Roman" w:eastAsia="楷体_GB2312" w:cs="Times New Roman"/>
          <w:b w:val="0"/>
          <w:bCs w:val="0"/>
          <w:color w:val="000000"/>
          <w:kern w:val="0"/>
          <w:sz w:val="32"/>
          <w:szCs w:val="32"/>
          <w:highlight w:val="none"/>
          <w:lang w:eastAsia="zh-CN" w:bidi="ar"/>
        </w:rPr>
        <w:t>。</w:t>
      </w:r>
      <w:r>
        <w:rPr>
          <w:rFonts w:hint="default" w:ascii="Times New Roman" w:hAnsi="Times New Roman" w:eastAsia="仿宋_GB2312" w:cs="Times New Roman"/>
          <w:b w:val="0"/>
          <w:bCs w:val="0"/>
          <w:color w:val="000000"/>
          <w:kern w:val="0"/>
          <w:sz w:val="32"/>
          <w:szCs w:val="32"/>
          <w:highlight w:val="none"/>
          <w:lang w:bidi="ar"/>
        </w:rPr>
        <w:t>第三方机构与电厂、政府部门沟通协调有时不够顺畅，影响工作进度。</w:t>
      </w:r>
    </w:p>
    <w:p>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方正黑体_GBK" w:cs="Times New Roman"/>
          <w:b w:val="0"/>
          <w:bCs w:val="0"/>
          <w:color w:val="000000"/>
          <w:kern w:val="0"/>
          <w:sz w:val="32"/>
          <w:szCs w:val="32"/>
          <w:highlight w:val="none"/>
          <w:lang w:bidi="ar"/>
        </w:rPr>
      </w:pPr>
      <w:r>
        <w:rPr>
          <w:rFonts w:hint="default" w:ascii="Times New Roman" w:hAnsi="Times New Roman" w:eastAsia="方正黑体_GBK" w:cs="Times New Roman"/>
          <w:b w:val="0"/>
          <w:bCs w:val="0"/>
          <w:color w:val="000000"/>
          <w:kern w:val="0"/>
          <w:sz w:val="32"/>
          <w:szCs w:val="32"/>
          <w:highlight w:val="none"/>
          <w:lang w:bidi="ar"/>
        </w:rPr>
        <w:t>四、下一步计划</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bidi="ar"/>
        </w:rPr>
      </w:pPr>
      <w:r>
        <w:rPr>
          <w:rFonts w:hint="default" w:ascii="Times New Roman" w:hAnsi="Times New Roman" w:eastAsia="仿宋_GB2312" w:cs="Times New Roman"/>
          <w:b w:val="0"/>
          <w:bCs w:val="0"/>
          <w:color w:val="000000"/>
          <w:kern w:val="0"/>
          <w:sz w:val="32"/>
          <w:szCs w:val="32"/>
          <w:highlight w:val="none"/>
          <w:lang w:bidi="ar"/>
        </w:rPr>
        <w:t>为加强企业固体废物资源综合利用，促进产业绿色健康持续发展，下一步要求电厂建立更完善数据管理系统，加强历史数据整理与保存，为后续复核提供更丰富数据资源。</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color w:val="000000"/>
          <w:kern w:val="0"/>
          <w:sz w:val="32"/>
          <w:szCs w:val="32"/>
          <w:highlight w:val="none"/>
          <w:lang w:bidi="ar"/>
        </w:rPr>
        <w:sectPr>
          <w:footerReference r:id="rId7" w:type="default"/>
          <w:pgSz w:w="11906" w:h="16838"/>
          <w:pgMar w:top="1984" w:right="1531" w:bottom="1701" w:left="1531" w:header="851" w:footer="1588" w:gutter="0"/>
          <w:cols w:space="720" w:num="1"/>
          <w:docGrid w:linePitch="312" w:charSpace="0"/>
        </w:sectPr>
      </w:pPr>
      <w:r>
        <w:rPr>
          <w:rFonts w:hint="default" w:ascii="Times New Roman" w:hAnsi="Times New Roman" w:eastAsia="仿宋_GB2312" w:cs="Times New Roman"/>
          <w:b w:val="0"/>
          <w:bCs w:val="0"/>
          <w:color w:val="000000"/>
          <w:kern w:val="0"/>
          <w:sz w:val="32"/>
          <w:szCs w:val="32"/>
          <w:highlight w:val="none"/>
          <w:lang w:bidi="ar"/>
        </w:rPr>
        <w:t>本次专项资金支出在大唐华银株洲两家电厂固体废物</w:t>
      </w:r>
      <w:r>
        <w:rPr>
          <w:rFonts w:hint="default" w:ascii="Times New Roman" w:hAnsi="Times New Roman" w:eastAsia="仿宋_GB2312" w:cs="Times New Roman"/>
          <w:color w:val="000000"/>
          <w:kern w:val="0"/>
          <w:sz w:val="32"/>
          <w:szCs w:val="32"/>
          <w:highlight w:val="none"/>
          <w:lang w:bidi="ar"/>
        </w:rPr>
        <w:t>综合利用情况复核中成效显著，达到预期绩效目标。</w:t>
      </w:r>
    </w:p>
    <w:p>
      <w:pPr>
        <w:keepNext w:val="0"/>
        <w:keepLines w:val="0"/>
        <w:pageBreakBefore w:val="0"/>
        <w:widowControl w:val="0"/>
        <w:kinsoku/>
        <w:wordWrap/>
        <w:overflowPunct/>
        <w:topLinePunct w:val="0"/>
        <w:autoSpaceDE/>
        <w:autoSpaceDN/>
        <w:bidi w:val="0"/>
        <w:spacing w:line="579" w:lineRule="exact"/>
        <w:jc w:val="center"/>
        <w:textAlignment w:val="auto"/>
        <w:rPr>
          <w:rFonts w:hint="default" w:ascii="Times New Roman" w:hAnsi="Times New Roman" w:eastAsia="方正小标宋简体" w:cs="Times New Roman"/>
          <w:color w:val="000000"/>
          <w:kern w:val="0"/>
          <w:sz w:val="41"/>
          <w:szCs w:val="41"/>
          <w:highlight w:val="none"/>
          <w:lang w:bidi="ar"/>
        </w:rPr>
      </w:pPr>
      <w:r>
        <w:rPr>
          <w:rFonts w:hint="default" w:ascii="Times New Roman" w:hAnsi="Times New Roman" w:eastAsia="方正小标宋简体" w:cs="Times New Roman"/>
          <w:color w:val="000000"/>
          <w:kern w:val="0"/>
          <w:sz w:val="41"/>
          <w:szCs w:val="41"/>
          <w:highlight w:val="none"/>
          <w:lang w:bidi="ar"/>
        </w:rPr>
        <w:t>202</w:t>
      </w:r>
      <w:r>
        <w:rPr>
          <w:rFonts w:hint="eastAsia" w:ascii="Times New Roman" w:hAnsi="Times New Roman" w:eastAsia="方正小标宋简体" w:cs="Times New Roman"/>
          <w:color w:val="000000"/>
          <w:kern w:val="0"/>
          <w:sz w:val="41"/>
          <w:szCs w:val="41"/>
          <w:highlight w:val="none"/>
          <w:lang w:val="en-US" w:eastAsia="zh-CN" w:bidi="ar"/>
        </w:rPr>
        <w:t>4</w:t>
      </w:r>
      <w:r>
        <w:rPr>
          <w:rFonts w:hint="default" w:ascii="Times New Roman" w:hAnsi="Times New Roman" w:eastAsia="方正小标宋简体" w:cs="Times New Roman"/>
          <w:color w:val="000000"/>
          <w:kern w:val="0"/>
          <w:sz w:val="41"/>
          <w:szCs w:val="41"/>
          <w:highlight w:val="none"/>
          <w:lang w:bidi="ar"/>
        </w:rPr>
        <w:t>年度项目支出绩效自评表</w:t>
      </w:r>
    </w:p>
    <w:p>
      <w:pPr>
        <w:keepNext w:val="0"/>
        <w:keepLines w:val="0"/>
        <w:pageBreakBefore w:val="0"/>
        <w:widowControl w:val="0"/>
        <w:kinsoku/>
        <w:wordWrap/>
        <w:overflowPunct/>
        <w:topLinePunct w:val="0"/>
        <w:autoSpaceDE/>
        <w:autoSpaceDN/>
        <w:bidi w:val="0"/>
        <w:spacing w:line="579" w:lineRule="exact"/>
        <w:jc w:val="center"/>
        <w:textAlignment w:val="auto"/>
        <w:rPr>
          <w:rFonts w:hint="default" w:ascii="Times New Roman" w:hAnsi="Times New Roman" w:eastAsia="方正小标宋简体" w:cs="Times New Roman"/>
          <w:color w:val="000000"/>
          <w:kern w:val="0"/>
          <w:sz w:val="41"/>
          <w:szCs w:val="41"/>
          <w:highlight w:val="none"/>
          <w:lang w:bidi="ar"/>
        </w:rPr>
      </w:pPr>
    </w:p>
    <w:tbl>
      <w:tblPr>
        <w:tblStyle w:val="22"/>
        <w:tblW w:w="9839" w:type="dxa"/>
        <w:jc w:val="center"/>
        <w:tblLayout w:type="autofit"/>
        <w:tblCellMar>
          <w:top w:w="0" w:type="dxa"/>
          <w:left w:w="108" w:type="dxa"/>
          <w:bottom w:w="0" w:type="dxa"/>
          <w:right w:w="108" w:type="dxa"/>
        </w:tblCellMar>
      </w:tblPr>
      <w:tblGrid>
        <w:gridCol w:w="1077"/>
        <w:gridCol w:w="1077"/>
        <w:gridCol w:w="1079"/>
        <w:gridCol w:w="1222"/>
        <w:gridCol w:w="1135"/>
        <w:gridCol w:w="1132"/>
        <w:gridCol w:w="826"/>
        <w:gridCol w:w="871"/>
        <w:gridCol w:w="1420"/>
      </w:tblGrid>
      <w:tr>
        <w:tblPrEx>
          <w:tblCellMar>
            <w:top w:w="0" w:type="dxa"/>
            <w:left w:w="108" w:type="dxa"/>
            <w:bottom w:w="0" w:type="dxa"/>
            <w:right w:w="108" w:type="dxa"/>
          </w:tblCellMar>
        </w:tblPrEx>
        <w:trPr>
          <w:trHeight w:val="582"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62"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大唐华银株洲两家电厂固体废物综合利用复核</w:t>
            </w:r>
            <w:r>
              <w:rPr>
                <w:rFonts w:hint="eastAsia" w:ascii="Times New Roman" w:hAnsi="Times New Roman" w:eastAsia="仿宋_GB2312" w:cs="Times New Roman"/>
                <w:color w:val="000000"/>
                <w:sz w:val="20"/>
                <w:szCs w:val="20"/>
                <w:highlight w:val="none"/>
                <w:lang w:eastAsia="zh-CN"/>
              </w:rPr>
              <w:t>经费</w:t>
            </w:r>
          </w:p>
        </w:tc>
      </w:tr>
      <w:tr>
        <w:tblPrEx>
          <w:tblCellMar>
            <w:top w:w="0" w:type="dxa"/>
            <w:left w:w="108" w:type="dxa"/>
            <w:bottom w:w="0" w:type="dxa"/>
            <w:right w:w="108" w:type="dxa"/>
          </w:tblCellMar>
        </w:tblPrEx>
        <w:trPr>
          <w:trHeight w:val="398" w:hRule="atLeast"/>
          <w:jc w:val="center"/>
        </w:trPr>
        <w:tc>
          <w:tcPr>
            <w:tcW w:w="107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51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株洲市工业和信息化局</w:t>
            </w:r>
          </w:p>
        </w:tc>
        <w:tc>
          <w:tcPr>
            <w:tcW w:w="1132"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eastAsia"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株洲市工业和信息化局</w:t>
            </w:r>
            <w:r>
              <w:rPr>
                <w:rFonts w:hint="eastAsia" w:ascii="Times New Roman" w:hAnsi="Times New Roman" w:eastAsia="仿宋_GB2312" w:cs="Times New Roman"/>
                <w:color w:val="000000"/>
                <w:sz w:val="20"/>
                <w:szCs w:val="20"/>
                <w:highlight w:val="none"/>
                <w:lang w:eastAsia="zh-CN"/>
              </w:rPr>
              <w:t>机关</w:t>
            </w:r>
          </w:p>
        </w:tc>
      </w:tr>
      <w:tr>
        <w:tblPrEx>
          <w:tblCellMar>
            <w:top w:w="0" w:type="dxa"/>
            <w:left w:w="108" w:type="dxa"/>
            <w:bottom w:w="0" w:type="dxa"/>
            <w:right w:w="108" w:type="dxa"/>
          </w:tblCellMar>
        </w:tblPrEx>
        <w:trPr>
          <w:trHeight w:val="554"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（万元）</w:t>
            </w:r>
          </w:p>
        </w:tc>
        <w:tc>
          <w:tcPr>
            <w:tcW w:w="2156"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tblPrEx>
          <w:tblCellMar>
            <w:top w:w="0" w:type="dxa"/>
            <w:left w:w="108" w:type="dxa"/>
            <w:bottom w:w="0" w:type="dxa"/>
            <w:right w:w="108" w:type="dxa"/>
          </w:tblCellMar>
        </w:tblPrEx>
        <w:trPr>
          <w:trHeight w:val="460"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2156"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4.8</w:t>
            </w: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4.8</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4.8</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422"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2156"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324"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2156"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324" w:hRule="atLeast"/>
          <w:jc w:val="center"/>
        </w:trPr>
        <w:tc>
          <w:tcPr>
            <w:tcW w:w="1077"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2156"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kern w:val="2"/>
                <w:sz w:val="20"/>
                <w:szCs w:val="20"/>
                <w:highlight w:val="none"/>
                <w:lang w:val="en-US" w:eastAsia="zh-CN" w:bidi="ar-SA"/>
              </w:rPr>
              <w:t>4.8</w:t>
            </w: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4.8</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4.8</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10</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100%</w:t>
            </w: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10</w:t>
            </w:r>
          </w:p>
        </w:tc>
      </w:tr>
      <w:tr>
        <w:tblPrEx>
          <w:tblCellMar>
            <w:top w:w="0" w:type="dxa"/>
            <w:left w:w="108" w:type="dxa"/>
            <w:bottom w:w="0" w:type="dxa"/>
            <w:right w:w="108" w:type="dxa"/>
          </w:tblCellMar>
        </w:tblPrEx>
        <w:trPr>
          <w:trHeight w:val="386"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51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24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tblPrEx>
          <w:tblCellMar>
            <w:top w:w="0" w:type="dxa"/>
            <w:left w:w="108" w:type="dxa"/>
            <w:bottom w:w="0" w:type="dxa"/>
            <w:right w:w="108" w:type="dxa"/>
          </w:tblCellMar>
        </w:tblPrEx>
        <w:trPr>
          <w:trHeight w:val="1018"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451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both"/>
              <w:textAlignment w:val="auto"/>
              <w:rPr>
                <w:rFonts w:hint="eastAsia"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对大唐华银株洲两家电厂固体废物综合利用情况进行复核</w:t>
            </w:r>
            <w:r>
              <w:rPr>
                <w:rFonts w:hint="eastAsia" w:ascii="Times New Roman" w:hAnsi="Times New Roman" w:eastAsia="仿宋_GB2312" w:cs="Times New Roman"/>
                <w:color w:val="000000"/>
                <w:sz w:val="20"/>
                <w:szCs w:val="20"/>
                <w:highlight w:val="none"/>
                <w:lang w:eastAsia="zh-CN"/>
              </w:rPr>
              <w:t>。</w:t>
            </w:r>
          </w:p>
        </w:tc>
        <w:tc>
          <w:tcPr>
            <w:tcW w:w="424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完成对大唐华银株洲两家电厂固体废物综合利用情况复核，形成复核报告。</w:t>
            </w:r>
          </w:p>
        </w:tc>
      </w:tr>
      <w:tr>
        <w:tblPrEx>
          <w:tblCellMar>
            <w:top w:w="0" w:type="dxa"/>
            <w:left w:w="108" w:type="dxa"/>
            <w:bottom w:w="0" w:type="dxa"/>
            <w:right w:w="108" w:type="dxa"/>
          </w:tblCellMar>
        </w:tblPrEx>
        <w:trPr>
          <w:trHeight w:val="588" w:hRule="atLeast"/>
          <w:jc w:val="center"/>
        </w:trPr>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及改进措施</w:t>
            </w:r>
          </w:p>
        </w:tc>
      </w:tr>
      <w:tr>
        <w:tblPrEx>
          <w:tblCellMar>
            <w:top w:w="0" w:type="dxa"/>
            <w:left w:w="108" w:type="dxa"/>
            <w:bottom w:w="0" w:type="dxa"/>
            <w:right w:w="108" w:type="dxa"/>
          </w:tblCellMar>
        </w:tblPrEx>
        <w:trPr>
          <w:trHeight w:val="341"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（40分）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完成企业数量</w:t>
            </w: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两家</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两家</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分别复核两家电厂固体废物综合利用总量</w:t>
            </w: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通过专业技术、仪器对两家电厂的固体废物进行复核。</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通过专业技术、仪器对两家电厂的固体废物进行复核。</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20</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20</w:t>
            </w: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2025年10月30日</w:t>
            </w:r>
          </w:p>
        </w:tc>
        <w:tc>
          <w:tcPr>
            <w:tcW w:w="11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在2025年10月30日之前完成复核报告。</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按时完成</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经济效</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满足社会事业发展需求、社会稳定、社会公众。</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复核过程要科学合理，不能产生社会舆论、信访事件等。</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复核过程要科学合理，未产生社会舆论、信访事件等。</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7</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7</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生态效</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保护土壤</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减少固体废物污染，提升资源综合利用效率。</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推进我市固体废物资源综合利用工作，提升资源综合利用效率</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6</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6</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194"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指导企业按政策开展固体废物综合利用工作</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依据复核结果，指导企业按照相关政策开展固体废物综合利用工作，减少环境污染、促进资源再生利用。</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指导企业按照相关政策进一步完善内部制度，持续开展固体废物综合利用工作。</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7</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7</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41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复核工作满意度</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企业、税务、市场监管、工信等部门对复核工作的满意度</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均满意</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经济成本指标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复核工作经费</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对大唐华银株洲两家电厂固体废物综合利用情况进行复核，费用小于或等于5万元人民币。</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实际产生费用4.8万元。</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社会成本指标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不能造成社会负面影响</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选择的乙方，应符合企业、税务、市场监管、工信等各方要求</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服务机构符合各方需求。</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生态环境成本指标</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w:t>
            </w:r>
          </w:p>
        </w:tc>
        <w:tc>
          <w:tcPr>
            <w:tcW w:w="11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w:t>
            </w:r>
          </w:p>
        </w:tc>
        <w:tc>
          <w:tcPr>
            <w:tcW w:w="11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w:t>
            </w:r>
          </w:p>
        </w:tc>
        <w:tc>
          <w:tcPr>
            <w:tcW w:w="8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w:t>
            </w:r>
          </w:p>
        </w:tc>
        <w:tc>
          <w:tcPr>
            <w:tcW w:w="14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307" w:hRule="atLeast"/>
          <w:jc w:val="center"/>
        </w:trPr>
        <w:tc>
          <w:tcPr>
            <w:tcW w:w="672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14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_GB2312" w:cs="Times New Roman"/>
                <w:color w:val="000000"/>
                <w:sz w:val="20"/>
                <w:szCs w:val="20"/>
                <w:highlight w:val="none"/>
              </w:rPr>
            </w:pPr>
          </w:p>
        </w:tc>
      </w:tr>
    </w:tbl>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仿宋_GB2312" w:cs="Times New Roman"/>
          <w:sz w:val="28"/>
          <w:szCs w:val="28"/>
          <w:highlight w:val="none"/>
        </w:rPr>
        <w:br w:type="page"/>
      </w:r>
      <w:r>
        <w:rPr>
          <w:rFonts w:hint="eastAsia" w:ascii="Times New Roman" w:hAnsi="Times New Roman" w:eastAsia="方正小标宋简体" w:cs="Times New Roman"/>
          <w:color w:val="000000"/>
          <w:kern w:val="0"/>
          <w:sz w:val="41"/>
          <w:szCs w:val="41"/>
          <w:lang w:val="en-US" w:eastAsia="zh-CN" w:bidi="ar"/>
        </w:rPr>
        <w:t>市工信局</w:t>
      </w:r>
      <w:r>
        <w:rPr>
          <w:rFonts w:hint="default" w:ascii="Times New Roman" w:hAnsi="Times New Roman" w:eastAsia="方正小标宋简体" w:cs="Times New Roman"/>
          <w:color w:val="000000"/>
          <w:kern w:val="0"/>
          <w:sz w:val="41"/>
          <w:szCs w:val="41"/>
          <w:lang w:val="en-US" w:eastAsia="zh-CN" w:bidi="ar"/>
        </w:rPr>
        <w:t>2023年企业办事不求人</w:t>
      </w:r>
      <w:r>
        <w:rPr>
          <w:rFonts w:hint="eastAsia" w:ascii="Times New Roman" w:hAnsi="Times New Roman" w:eastAsia="方正小标宋简体" w:cs="Times New Roman"/>
          <w:color w:val="000000"/>
          <w:kern w:val="0"/>
          <w:sz w:val="41"/>
          <w:szCs w:val="41"/>
          <w:lang w:val="en-US" w:eastAsia="zh-CN" w:bidi="ar"/>
        </w:rPr>
        <w:t>等工作</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rPr>
      </w:pPr>
      <w:r>
        <w:rPr>
          <w:rFonts w:hint="eastAsia" w:ascii="Times New Roman" w:hAnsi="Times New Roman" w:eastAsia="方正小标宋简体" w:cs="Times New Roman"/>
          <w:color w:val="000000"/>
          <w:kern w:val="0"/>
          <w:sz w:val="41"/>
          <w:szCs w:val="41"/>
          <w:lang w:val="en-US" w:eastAsia="zh-CN" w:bidi="ar"/>
        </w:rPr>
        <w:t>部分结余指标</w:t>
      </w:r>
      <w:r>
        <w:rPr>
          <w:rFonts w:hint="default" w:ascii="Times New Roman" w:hAnsi="Times New Roman" w:eastAsia="方正小标宋简体" w:cs="Times New Roman"/>
          <w:color w:val="000000"/>
          <w:kern w:val="0"/>
          <w:sz w:val="41"/>
          <w:szCs w:val="41"/>
          <w:lang w:val="en-US" w:eastAsia="zh-CN" w:bidi="ar"/>
        </w:rPr>
        <w:t>绩效自评报告</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楷体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78" w:lineRule="exact"/>
        <w:ind w:firstLine="620" w:firstLineChars="200"/>
        <w:textAlignment w:val="auto"/>
        <w:rPr>
          <w:rFonts w:hint="default" w:ascii="Times New Roman" w:hAnsi="Times New Roman" w:cs="Times New Roman"/>
          <w:b w:val="0"/>
          <w:bCs w:val="0"/>
          <w:highlight w:val="none"/>
        </w:rPr>
      </w:pPr>
      <w:r>
        <w:rPr>
          <w:rFonts w:hint="default" w:ascii="Times New Roman" w:hAnsi="Times New Roman" w:eastAsia="黑体" w:cs="Times New Roman"/>
          <w:b w:val="0"/>
          <w:bCs w:val="0"/>
          <w:color w:val="000000"/>
          <w:kern w:val="0"/>
          <w:sz w:val="31"/>
          <w:szCs w:val="31"/>
          <w:highlight w:val="none"/>
          <w:lang w:bidi="ar"/>
        </w:rPr>
        <w:t>一、预算收支出情况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0"/>
          <w:sz w:val="32"/>
          <w:szCs w:val="32"/>
          <w:highlight w:val="none"/>
          <w:lang w:bidi="ar"/>
        </w:rPr>
        <w:t>2024年预算</w:t>
      </w:r>
      <w:r>
        <w:rPr>
          <w:rFonts w:hint="default" w:ascii="Times New Roman" w:hAnsi="Times New Roman" w:eastAsia="仿宋_GB2312" w:cs="Times New Roman"/>
          <w:b w:val="0"/>
          <w:bCs w:val="0"/>
          <w:color w:val="000000"/>
          <w:kern w:val="0"/>
          <w:sz w:val="32"/>
          <w:szCs w:val="32"/>
          <w:highlight w:val="none"/>
          <w:lang w:val="en-US" w:eastAsia="zh-CN" w:bidi="ar"/>
        </w:rPr>
        <w:t>32.</w:t>
      </w:r>
      <w:r>
        <w:rPr>
          <w:rFonts w:hint="eastAsia" w:ascii="Times New Roman" w:hAnsi="Times New Roman" w:eastAsia="仿宋_GB2312" w:cs="Times New Roman"/>
          <w:b w:val="0"/>
          <w:bCs w:val="0"/>
          <w:color w:val="000000"/>
          <w:kern w:val="0"/>
          <w:sz w:val="32"/>
          <w:szCs w:val="32"/>
          <w:highlight w:val="none"/>
          <w:lang w:val="en-US" w:eastAsia="zh-CN" w:bidi="ar"/>
        </w:rPr>
        <w:t>03</w:t>
      </w:r>
      <w:r>
        <w:rPr>
          <w:rFonts w:hint="default" w:ascii="Times New Roman" w:hAnsi="Times New Roman" w:eastAsia="仿宋_GB2312" w:cs="Times New Roman"/>
          <w:b w:val="0"/>
          <w:bCs w:val="0"/>
          <w:color w:val="000000"/>
          <w:kern w:val="0"/>
          <w:sz w:val="32"/>
          <w:szCs w:val="32"/>
          <w:highlight w:val="none"/>
          <w:lang w:bidi="ar"/>
        </w:rPr>
        <w:t>万元，其中年初预算</w:t>
      </w:r>
      <w:r>
        <w:rPr>
          <w:rFonts w:hint="eastAsia" w:ascii="Times New Roman" w:hAnsi="Times New Roman" w:eastAsia="仿宋_GB2312" w:cs="Times New Roman"/>
          <w:b w:val="0"/>
          <w:bCs w:val="0"/>
          <w:color w:val="000000"/>
          <w:kern w:val="0"/>
          <w:sz w:val="32"/>
          <w:szCs w:val="32"/>
          <w:highlight w:val="none"/>
          <w:lang w:val="en-US" w:eastAsia="zh-CN" w:bidi="ar"/>
        </w:rPr>
        <w:t>41.09</w:t>
      </w:r>
      <w:r>
        <w:rPr>
          <w:rFonts w:hint="default" w:ascii="Times New Roman" w:hAnsi="Times New Roman" w:eastAsia="仿宋_GB2312" w:cs="Times New Roman"/>
          <w:b w:val="0"/>
          <w:bCs w:val="0"/>
          <w:color w:val="000000"/>
          <w:kern w:val="0"/>
          <w:sz w:val="32"/>
          <w:szCs w:val="32"/>
          <w:highlight w:val="none"/>
          <w:lang w:bidi="ar"/>
        </w:rPr>
        <w:t>万元，实际支出</w:t>
      </w:r>
      <w:r>
        <w:rPr>
          <w:rFonts w:hint="default" w:ascii="Times New Roman" w:hAnsi="Times New Roman" w:eastAsia="仿宋_GB2312" w:cs="Times New Roman"/>
          <w:b w:val="0"/>
          <w:bCs w:val="0"/>
          <w:color w:val="000000"/>
          <w:kern w:val="0"/>
          <w:sz w:val="32"/>
          <w:szCs w:val="32"/>
          <w:highlight w:val="none"/>
          <w:lang w:val="en-US" w:eastAsia="zh-CN" w:bidi="ar"/>
        </w:rPr>
        <w:t>32.</w:t>
      </w:r>
      <w:r>
        <w:rPr>
          <w:rFonts w:hint="eastAsia" w:ascii="Times New Roman" w:hAnsi="Times New Roman" w:eastAsia="仿宋_GB2312" w:cs="Times New Roman"/>
          <w:b w:val="0"/>
          <w:bCs w:val="0"/>
          <w:color w:val="000000"/>
          <w:kern w:val="0"/>
          <w:sz w:val="32"/>
          <w:szCs w:val="32"/>
          <w:highlight w:val="none"/>
          <w:lang w:val="en-US" w:eastAsia="zh-CN" w:bidi="ar"/>
        </w:rPr>
        <w:t>03</w:t>
      </w:r>
      <w:r>
        <w:rPr>
          <w:rFonts w:hint="default" w:ascii="Times New Roman" w:hAnsi="Times New Roman" w:eastAsia="仿宋_GB2312" w:cs="Times New Roman"/>
          <w:b w:val="0"/>
          <w:bCs w:val="0"/>
          <w:color w:val="000000"/>
          <w:kern w:val="0"/>
          <w:sz w:val="32"/>
          <w:szCs w:val="32"/>
          <w:highlight w:val="none"/>
          <w:lang w:bidi="ar"/>
        </w:rPr>
        <w:t xml:space="preserve">万元。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二、项目支出绩效情况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bidi="ar"/>
        </w:rPr>
      </w:pPr>
      <w:r>
        <w:rPr>
          <w:rFonts w:hint="default" w:ascii="Times New Roman" w:hAnsi="Times New Roman" w:eastAsia="仿宋_GB2312" w:cs="Times New Roman"/>
          <w:b w:val="0"/>
          <w:bCs w:val="0"/>
          <w:color w:val="000000"/>
          <w:kern w:val="0"/>
          <w:sz w:val="32"/>
          <w:szCs w:val="32"/>
          <w:highlight w:val="none"/>
          <w:lang w:val="en-US" w:eastAsia="zh-CN" w:bidi="ar"/>
        </w:rPr>
        <w:t>市工信局2023年企业办事不求人等工作部分结余指标主要用于支付聘用人员工资，以及支付2023年度“企业办事不求人”派单系统运维服务合同尾款。项目实施及绩效情况如下：市工信局持续打造“企业办事不求人”工作升级版，强化“企业办事不求人”工作专班工作职责，继续聘用5名工作人员，负责企业问题的受理、交办和督办等工作。依托“企业办事不求人”问题交办系统，搭建企业问题受理直达通道，实现企业问题快速、专业受理、办理。“企业办事不求人”机制建立以来，市“企业办事不求人”工作专班始终秉持“心甘情愿，心急如焚”的服务理念，坚持主动靠前服务，多措并举，针对企业痛点堵点难点问题，在此期间开展“周末企业大讲堂”活动5场；拍摄“政策会客厅”视频20期；开展“市直部门园区行”活动6场。“企业办事不求人”机制获评2023年度湖南省中小企业服务联盟能力竞赛创新服务项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bidi="ar"/>
        </w:rPr>
        <w:sectPr>
          <w:footerReference r:id="rId8" w:type="default"/>
          <w:pgSz w:w="11906" w:h="16838"/>
          <w:pgMar w:top="1984" w:right="1531" w:bottom="1701" w:left="1531" w:header="851" w:footer="1588" w:gutter="0"/>
          <w:cols w:space="720" w:num="1"/>
          <w:docGrid w:linePitch="312" w:charSpace="0"/>
        </w:sectPr>
      </w:pPr>
    </w:p>
    <w:p>
      <w:pPr>
        <w:keepNext w:val="0"/>
        <w:keepLines w:val="0"/>
        <w:pageBreakBefore w:val="0"/>
        <w:widowControl/>
        <w:suppressLineNumbers w:val="0"/>
        <w:kinsoku/>
        <w:wordWrap/>
        <w:overflowPunct/>
        <w:topLinePunct w:val="0"/>
        <w:autoSpaceDE/>
        <w:autoSpaceDN/>
        <w:bidi w:val="0"/>
        <w:adjustRightInd/>
        <w:snapToGrid/>
        <w:spacing w:after="157" w:afterLines="50"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2024年度项目支出绩效自评表</w:t>
      </w:r>
    </w:p>
    <w:tbl>
      <w:tblPr>
        <w:tblStyle w:val="22"/>
        <w:tblW w:w="9839" w:type="dxa"/>
        <w:jc w:val="center"/>
        <w:tblLayout w:type="autofit"/>
        <w:tblCellMar>
          <w:top w:w="0" w:type="dxa"/>
          <w:left w:w="108" w:type="dxa"/>
          <w:bottom w:w="0" w:type="dxa"/>
          <w:right w:w="108" w:type="dxa"/>
        </w:tblCellMar>
      </w:tblPr>
      <w:tblGrid>
        <w:gridCol w:w="1077"/>
        <w:gridCol w:w="1077"/>
        <w:gridCol w:w="1079"/>
        <w:gridCol w:w="1222"/>
        <w:gridCol w:w="1135"/>
        <w:gridCol w:w="1132"/>
        <w:gridCol w:w="826"/>
        <w:gridCol w:w="871"/>
        <w:gridCol w:w="1420"/>
      </w:tblGrid>
      <w:tr>
        <w:tblPrEx>
          <w:tblCellMar>
            <w:top w:w="0" w:type="dxa"/>
            <w:left w:w="108" w:type="dxa"/>
            <w:bottom w:w="0" w:type="dxa"/>
            <w:right w:w="108" w:type="dxa"/>
          </w:tblCellMar>
        </w:tblPrEx>
        <w:trPr>
          <w:trHeight w:val="418"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62"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市工信局2023年企业办事不求人等工作部分结余指标</w:t>
            </w:r>
          </w:p>
        </w:tc>
      </w:tr>
      <w:tr>
        <w:tblPrEx>
          <w:tblCellMar>
            <w:top w:w="0" w:type="dxa"/>
            <w:left w:w="108" w:type="dxa"/>
            <w:bottom w:w="0" w:type="dxa"/>
            <w:right w:w="108" w:type="dxa"/>
          </w:tblCellMar>
        </w:tblPrEx>
        <w:trPr>
          <w:trHeight w:val="352" w:hRule="atLeast"/>
          <w:jc w:val="center"/>
        </w:trPr>
        <w:tc>
          <w:tcPr>
            <w:tcW w:w="107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3"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株洲市工业和信息化局</w:t>
            </w:r>
          </w:p>
        </w:tc>
        <w:tc>
          <w:tcPr>
            <w:tcW w:w="1132"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7"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株洲市工业和信息化局</w:t>
            </w:r>
            <w:r>
              <w:rPr>
                <w:rFonts w:hint="eastAsia" w:ascii="Times New Roman" w:hAnsi="Times New Roman" w:eastAsia="仿宋_GB2312" w:cs="Times New Roman"/>
                <w:color w:val="000000"/>
                <w:sz w:val="20"/>
                <w:szCs w:val="20"/>
                <w:lang w:eastAsia="zh-CN"/>
              </w:rPr>
              <w:t>机关</w:t>
            </w:r>
          </w:p>
        </w:tc>
      </w:tr>
      <w:tr>
        <w:tblPrEx>
          <w:tblCellMar>
            <w:top w:w="0" w:type="dxa"/>
            <w:left w:w="108" w:type="dxa"/>
            <w:bottom w:w="0" w:type="dxa"/>
            <w:right w:w="108" w:type="dxa"/>
          </w:tblCellMar>
        </w:tblPrEx>
        <w:trPr>
          <w:trHeight w:val="554"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2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376"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39"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41.09</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32.03</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32.03</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r>
      <w:tr>
        <w:tblPrEx>
          <w:tblCellMar>
            <w:top w:w="0" w:type="dxa"/>
            <w:left w:w="108" w:type="dxa"/>
            <w:bottom w:w="0" w:type="dxa"/>
            <w:right w:w="108" w:type="dxa"/>
          </w:tblCellMar>
        </w:tblPrEx>
        <w:trPr>
          <w:trHeight w:val="324"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41.09</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32.03</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32.03</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r>
              <w:rPr>
                <w:rFonts w:hint="default"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trHeight w:val="328"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1238"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left"/>
              <w:rPr>
                <w:rFonts w:hint="default" w:ascii="Times New Roman" w:hAnsi="Times New Roman" w:eastAsia="方正仿宋_GBK" w:cs="Times New Roman"/>
                <w:color w:val="000000"/>
                <w:kern w:val="0"/>
                <w:sz w:val="28"/>
                <w:szCs w:val="28"/>
                <w:lang w:val="en-US" w:eastAsia="zh-CN"/>
              </w:rPr>
            </w:pPr>
            <w:r>
              <w:rPr>
                <w:rFonts w:hint="default" w:ascii="Times New Roman" w:hAnsi="Times New Roman" w:eastAsia="仿宋_GB2312" w:cs="Times New Roman"/>
                <w:kern w:val="2"/>
                <w:sz w:val="20"/>
                <w:szCs w:val="20"/>
                <w:lang w:val="en-US" w:eastAsia="zh-CN" w:bidi="ar-SA"/>
              </w:rPr>
              <w:t>打造“企业办事不求人”升级版，以解决企业实际问题为核心，针对制约企业发展的堵点痛点难点问题，坚决做到“应收尽收、应办必办”，确保企业服务事项的办结率不低于95%，满意度提升至90%以上。</w:t>
            </w:r>
          </w:p>
        </w:tc>
        <w:tc>
          <w:tcPr>
            <w:tcW w:w="424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仿宋_GB2312" w:cs="Times New Roman"/>
                <w:kern w:val="2"/>
                <w:sz w:val="20"/>
                <w:szCs w:val="20"/>
                <w:lang w:val="en-US" w:eastAsia="zh-CN" w:bidi="ar-SA"/>
              </w:rPr>
              <w:t>“企业办事不求人”工作专班2023年办理问题5592件，办结5582件，办结率99.82%，满意率94.55%。</w:t>
            </w:r>
          </w:p>
        </w:tc>
      </w:tr>
      <w:tr>
        <w:tblPrEx>
          <w:tblCellMar>
            <w:top w:w="0" w:type="dxa"/>
            <w:left w:w="108" w:type="dxa"/>
            <w:bottom w:w="0" w:type="dxa"/>
            <w:right w:w="108" w:type="dxa"/>
          </w:tblCellMar>
        </w:tblPrEx>
        <w:trPr>
          <w:trHeight w:val="588" w:hRule="atLeast"/>
          <w:jc w:val="center"/>
        </w:trPr>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及改进措施</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40分</w:t>
            </w:r>
            <w:r>
              <w:rPr>
                <w:rFonts w:hint="default" w:ascii="Times New Roman" w:hAnsi="Times New Roman" w:eastAsia="仿宋_GB2312" w:cs="Times New Roman"/>
                <w:color w:val="000000"/>
                <w:sz w:val="20"/>
                <w:szCs w:val="20"/>
                <w:lang w:eastAsia="zh-CN"/>
              </w:rPr>
              <w:t>）</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开展惠企活动</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30场/期</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31场/期</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验收合格率（%）</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100%</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资金到位时效</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是否及时</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及时</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提升企业获得感受惠面</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是否提升</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明显提升</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生态效</w:t>
            </w:r>
          </w:p>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惠企政策直达快享</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是否及时</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及时</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营造良好营商环境，助推株洲工业高质量发展</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是否提升</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明显提升</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1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问题办理满意度</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lang w:val="en-US" w:eastAsia="zh-CN"/>
              </w:rPr>
              <w:t>90%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94.55%</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68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问题交办系统年运行维护费用</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19万元</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19万元</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84" w:hRule="atLeast"/>
          <w:jc w:val="center"/>
        </w:trPr>
        <w:tc>
          <w:tcPr>
            <w:tcW w:w="6722"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r>
    </w:tbl>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仿宋_GB2312" w:cs="Times New Roman"/>
          <w:sz w:val="28"/>
          <w:szCs w:val="28"/>
        </w:rPr>
        <w:br w:type="page"/>
      </w:r>
      <w:r>
        <w:rPr>
          <w:rFonts w:hint="default" w:ascii="Times New Roman" w:hAnsi="Times New Roman" w:eastAsia="方正小标宋简体" w:cs="Times New Roman"/>
          <w:color w:val="000000"/>
          <w:kern w:val="0"/>
          <w:sz w:val="41"/>
          <w:szCs w:val="41"/>
          <w:lang w:eastAsia="zh-CN" w:bidi="ar"/>
        </w:rPr>
        <w:t>人才示范培训班工作经费</w:t>
      </w:r>
      <w:r>
        <w:rPr>
          <w:rFonts w:hint="default" w:ascii="Times New Roman" w:hAnsi="Times New Roman" w:eastAsia="方正小标宋简体" w:cs="Times New Roman"/>
          <w:color w:val="000000"/>
          <w:kern w:val="0"/>
          <w:sz w:val="41"/>
          <w:szCs w:val="41"/>
          <w:lang w:val="en-US" w:eastAsia="zh-CN" w:bidi="ar"/>
        </w:rPr>
        <w:t>20万元</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kern w:val="0"/>
        </w:rPr>
      </w:pPr>
      <w:r>
        <w:rPr>
          <w:rFonts w:hint="default" w:ascii="Times New Roman" w:hAnsi="Times New Roman" w:eastAsia="方正小标宋简体" w:cs="Times New Roman"/>
          <w:color w:val="000000"/>
          <w:kern w:val="0"/>
          <w:sz w:val="41"/>
          <w:szCs w:val="41"/>
          <w:lang w:bidi="ar"/>
        </w:rPr>
        <w:t>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cs="Times New Roman"/>
          <w:kern w:val="0"/>
          <w:sz w:val="32"/>
          <w:szCs w:val="32"/>
        </w:rPr>
      </w:pPr>
      <w:r>
        <w:rPr>
          <w:rFonts w:hint="default" w:ascii="Times New Roman" w:hAnsi="Times New Roman" w:eastAsia="黑体" w:cs="Times New Roman"/>
          <w:color w:val="000000"/>
          <w:kern w:val="0"/>
          <w:sz w:val="32"/>
          <w:szCs w:val="32"/>
          <w:lang w:bidi="ar"/>
        </w:rPr>
        <w:t>一、预算收支出情况</w:t>
      </w:r>
      <w:r>
        <w:rPr>
          <w:rFonts w:hint="default" w:ascii="Times New Roman" w:hAnsi="Times New Roman" w:eastAsia="楷体" w:cs="Times New Roman"/>
          <w:b/>
          <w:bCs/>
          <w:color w:val="000000"/>
          <w:kern w:val="0"/>
          <w:sz w:val="32"/>
          <w:szCs w:val="32"/>
          <w:lang w:bidi="ar"/>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lang w:bidi="ar"/>
        </w:rPr>
        <w:t xml:space="preserve">2024年预算收入20万元，其中年初预算20万元，实际支出20万元。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cs="Times New Roman"/>
          <w:kern w:val="0"/>
          <w:sz w:val="32"/>
          <w:szCs w:val="32"/>
        </w:rPr>
      </w:pPr>
      <w:r>
        <w:rPr>
          <w:rFonts w:hint="default" w:ascii="Times New Roman" w:hAnsi="Times New Roman" w:eastAsia="黑体" w:cs="Times New Roman"/>
          <w:color w:val="000000"/>
          <w:kern w:val="0"/>
          <w:sz w:val="32"/>
          <w:szCs w:val="32"/>
          <w:lang w:bidi="ar"/>
        </w:rPr>
        <w:t>二、项目支出绩效情况</w:t>
      </w:r>
      <w:r>
        <w:rPr>
          <w:rFonts w:hint="default" w:ascii="Times New Roman" w:hAnsi="Times New Roman" w:eastAsia="楷体" w:cs="Times New Roman"/>
          <w:b/>
          <w:bCs/>
          <w:color w:val="000000"/>
          <w:kern w:val="0"/>
          <w:sz w:val="32"/>
          <w:szCs w:val="32"/>
          <w:lang w:bidi="ar"/>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2024年人才示范培训班专项支出20万元，主要用于支出用“新”提质企业家研学活动。项目实施及绩效情况如下：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2024年</w:t>
      </w:r>
      <w:r>
        <w:rPr>
          <w:rFonts w:hint="default" w:ascii="Times New Roman" w:hAnsi="Times New Roman" w:eastAsia="仿宋_GB2312" w:cs="Times New Roman"/>
          <w:color w:val="000000"/>
          <w:kern w:val="0"/>
          <w:sz w:val="32"/>
          <w:szCs w:val="32"/>
          <w:lang w:val="en-US" w:eastAsia="zh-CN" w:bidi="ar"/>
        </w:rPr>
        <w:t>7月7日至</w:t>
      </w:r>
      <w:r>
        <w:rPr>
          <w:rFonts w:hint="default" w:ascii="Times New Roman" w:hAnsi="Times New Roman" w:eastAsia="仿宋_GB2312" w:cs="Times New Roman"/>
          <w:color w:val="000000"/>
          <w:kern w:val="0"/>
          <w:sz w:val="32"/>
          <w:szCs w:val="32"/>
          <w:lang w:bidi="ar"/>
        </w:rPr>
        <w:t>12日，用“新”提质·企业家研学专题培训在重庆大学成功举行。本次活动吸引了来自多个领域的优秀企业家参与，共同学习交流，探讨企业发展新路径。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本次培训活动围绕“在制造业数字化转型、人工智能、智能制造提升”等主题展开，设置了数字化转型专题，邀请了大数据、人工智能等领域的专家，为企业家们讲解大数据技术在企业管理、市场营销等方面的应用。企业家们纷纷表示，数字化转型是当前企业发展的必然趋势，通过培训学习，他们更加清晰地认识到了数字化转型的重要性和紧迫性，将积极采取行动，推动企业在数字化转型中实现跨越发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在为期数天的培训中，企业家们不仅聆听了关于宏观经济趋势、产业发展方向、企业管理创新等方面的专题讲座，还参与了实地考察、交流研讨等多种形式的实践活动。组织企业家深入行业领军企业，如赛力斯、紫光华智、京东方、发那科、长安汽车研究院、重庆市集成电路产业展示中心，进行实地参观与学习，通过深入企业一线，了解行业最新动态和前沿技术，企业家们纷纷表示受益匪浅，对未来发展充满了信心和期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此外，在培训结业典礼上，企业家们积极参与交流研讨，分享各自的经验和心得，共同探讨企业发展中的问题和挑战。通过深入交流，企业家们不仅增进了彼此之间的了解和友谊，还建立了广泛的合作关系，为未来的合作发展奠定了坚实的基础。此次企业家专题培训活动的成功举办，不仅为株洲企业家们提供了一个学习交流的平台，也为推动株洲经济高质量发展注入了新的活力和动力。未来，株洲市将继续加强企业家队伍建设，举办更多类似的培训活动，为企业家们提供更多学习成长的机会和平台，加快推动株洲“培育制造名城 建设幸福株洲”。</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大标宋简体" w:cs="Times New Roman"/>
          <w:color w:val="000000"/>
          <w:kern w:val="0"/>
          <w:sz w:val="32"/>
          <w:szCs w:val="32"/>
        </w:rPr>
        <w:sectPr>
          <w:footerReference r:id="rId9" w:type="default"/>
          <w:pgSz w:w="11906" w:h="16838"/>
          <w:pgMar w:top="1984" w:right="1531" w:bottom="1701" w:left="1531" w:header="851" w:footer="1588" w:gutter="0"/>
          <w:cols w:space="720" w:num="1"/>
          <w:docGrid w:linePitch="312" w:charSpace="0"/>
        </w:sectPr>
      </w:pPr>
    </w:p>
    <w:p>
      <w:pPr>
        <w:widowControl/>
        <w:spacing w:line="579" w:lineRule="exact"/>
        <w:jc w:val="center"/>
        <w:rPr>
          <w:rFonts w:hint="default" w:ascii="Times New Roman" w:hAnsi="Times New Roman" w:eastAsia="方正小标宋简体" w:cs="Times New Roman"/>
          <w:color w:val="000000"/>
          <w:kern w:val="0"/>
          <w:sz w:val="41"/>
          <w:szCs w:val="41"/>
          <w:lang w:bidi="ar"/>
        </w:rPr>
      </w:pPr>
      <w:r>
        <w:rPr>
          <w:rFonts w:hint="default" w:ascii="Times New Roman" w:hAnsi="Times New Roman" w:eastAsia="方正小标宋简体" w:cs="Times New Roman"/>
          <w:color w:val="000000"/>
          <w:kern w:val="0"/>
          <w:sz w:val="41"/>
          <w:szCs w:val="41"/>
          <w:lang w:bidi="ar"/>
        </w:rPr>
        <w:t>2024年度项目支出绩效自评表</w:t>
      </w:r>
    </w:p>
    <w:p>
      <w:pPr>
        <w:widowControl/>
        <w:spacing w:line="579" w:lineRule="exact"/>
        <w:jc w:val="center"/>
        <w:rPr>
          <w:rFonts w:hint="default" w:ascii="Times New Roman" w:hAnsi="Times New Roman" w:eastAsia="方正小标宋简体" w:cs="Times New Roman"/>
          <w:color w:val="000000"/>
          <w:kern w:val="0"/>
          <w:sz w:val="41"/>
          <w:szCs w:val="41"/>
          <w:lang w:bidi="ar"/>
        </w:rPr>
      </w:pPr>
    </w:p>
    <w:tbl>
      <w:tblPr>
        <w:tblStyle w:val="22"/>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077"/>
        <w:gridCol w:w="1079"/>
        <w:gridCol w:w="1369"/>
        <w:gridCol w:w="988"/>
        <w:gridCol w:w="1132"/>
        <w:gridCol w:w="826"/>
        <w:gridCol w:w="871"/>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77" w:type="dxa"/>
            <w:tcBorders>
              <w:tl2br w:val="nil"/>
              <w:tr2bl w:val="nil"/>
            </w:tcBorders>
            <w:noWrap w:val="0"/>
            <w:vAlign w:val="center"/>
          </w:tcPr>
          <w:p>
            <w:pPr>
              <w:widowControl/>
              <w:spacing w:line="26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项目支</w:t>
            </w:r>
          </w:p>
          <w:p>
            <w:pPr>
              <w:widowControl/>
              <w:spacing w:line="26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出名称</w:t>
            </w:r>
          </w:p>
        </w:tc>
        <w:tc>
          <w:tcPr>
            <w:tcW w:w="8762" w:type="dxa"/>
            <w:gridSpan w:val="8"/>
            <w:tcBorders>
              <w:tl2br w:val="nil"/>
              <w:tr2bl w:val="nil"/>
            </w:tcBorders>
            <w:noWrap w:val="0"/>
            <w:vAlign w:val="center"/>
          </w:tcPr>
          <w:p>
            <w:pPr>
              <w:widowControl/>
              <w:tabs>
                <w:tab w:val="left" w:pos="3360"/>
                <w:tab w:val="center" w:pos="4433"/>
              </w:tabs>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人才示范培训班专项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77" w:type="dxa"/>
            <w:tcBorders>
              <w:tl2br w:val="nil"/>
              <w:tr2bl w:val="nil"/>
            </w:tcBorders>
            <w:noWrap w:val="0"/>
            <w:vAlign w:val="center"/>
          </w:tcPr>
          <w:p>
            <w:pPr>
              <w:widowControl/>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主管部门</w:t>
            </w:r>
          </w:p>
        </w:tc>
        <w:tc>
          <w:tcPr>
            <w:tcW w:w="4513" w:type="dxa"/>
            <w:gridSpan w:val="4"/>
            <w:tcBorders>
              <w:tl2br w:val="nil"/>
              <w:tr2bl w:val="nil"/>
            </w:tcBorders>
            <w:noWrap w:val="0"/>
            <w:vAlign w:val="center"/>
          </w:tcPr>
          <w:p>
            <w:pPr>
              <w:widowControl/>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株洲市工业和信息化局</w:t>
            </w:r>
          </w:p>
        </w:tc>
        <w:tc>
          <w:tcPr>
            <w:tcW w:w="1132"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实施单位</w:t>
            </w:r>
          </w:p>
        </w:tc>
        <w:tc>
          <w:tcPr>
            <w:tcW w:w="3117" w:type="dxa"/>
            <w:gridSpan w:val="3"/>
            <w:tcBorders>
              <w:tl2br w:val="nil"/>
              <w:tr2bl w:val="nil"/>
            </w:tcBorders>
            <w:noWrap w:val="0"/>
            <w:vAlign w:val="center"/>
          </w:tcPr>
          <w:p>
            <w:pPr>
              <w:widowControl/>
              <w:jc w:val="lef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株洲市工业和信息化局</w:t>
            </w:r>
            <w:r>
              <w:rPr>
                <w:rFonts w:hint="eastAsia" w:ascii="Times New Roman" w:hAnsi="Times New Roman" w:eastAsia="仿宋_GB2312" w:cs="Times New Roman"/>
                <w:color w:val="000000"/>
                <w:kern w:val="0"/>
                <w:sz w:val="20"/>
                <w:szCs w:val="20"/>
                <w:lang w:eastAsia="zh-CN"/>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77" w:type="dxa"/>
            <w:vMerge w:val="restart"/>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项目资金</w:t>
            </w:r>
          </w:p>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（万元）</w:t>
            </w:r>
          </w:p>
        </w:tc>
        <w:tc>
          <w:tcPr>
            <w:tcW w:w="2156" w:type="dxa"/>
            <w:gridSpan w:val="2"/>
            <w:tcBorders>
              <w:tl2br w:val="nil"/>
              <w:tr2bl w:val="nil"/>
            </w:tcBorders>
            <w:noWrap w:val="0"/>
            <w:vAlign w:val="center"/>
          </w:tcPr>
          <w:p>
            <w:pPr>
              <w:widowControl/>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369"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年初</w:t>
            </w:r>
          </w:p>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预算数</w:t>
            </w:r>
          </w:p>
        </w:tc>
        <w:tc>
          <w:tcPr>
            <w:tcW w:w="988"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全年</w:t>
            </w:r>
          </w:p>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预算数</w:t>
            </w:r>
          </w:p>
        </w:tc>
        <w:tc>
          <w:tcPr>
            <w:tcW w:w="1132" w:type="dxa"/>
            <w:tcBorders>
              <w:tl2br w:val="nil"/>
              <w:tr2bl w:val="nil"/>
            </w:tcBorders>
            <w:noWrap w:val="0"/>
            <w:vAlign w:val="center"/>
          </w:tcPr>
          <w:p>
            <w:pPr>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全年</w:t>
            </w:r>
          </w:p>
          <w:p>
            <w:pPr>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执行数</w:t>
            </w:r>
          </w:p>
        </w:tc>
        <w:tc>
          <w:tcPr>
            <w:tcW w:w="826" w:type="dxa"/>
            <w:tcBorders>
              <w:tl2br w:val="nil"/>
              <w:tr2bl w:val="nil"/>
            </w:tcBorders>
            <w:noWrap w:val="0"/>
            <w:vAlign w:val="center"/>
          </w:tcPr>
          <w:p>
            <w:pPr>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分值</w:t>
            </w:r>
          </w:p>
        </w:tc>
        <w:tc>
          <w:tcPr>
            <w:tcW w:w="871" w:type="dxa"/>
            <w:tcBorders>
              <w:tl2br w:val="nil"/>
              <w:tr2bl w:val="nil"/>
            </w:tcBorders>
            <w:noWrap w:val="0"/>
            <w:vAlign w:val="center"/>
          </w:tcPr>
          <w:p>
            <w:pPr>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执行率</w:t>
            </w:r>
          </w:p>
        </w:tc>
        <w:tc>
          <w:tcPr>
            <w:tcW w:w="1420" w:type="dxa"/>
            <w:tcBorders>
              <w:tl2br w:val="nil"/>
              <w:tr2bl w:val="nil"/>
            </w:tcBorders>
            <w:noWrap w:val="0"/>
            <w:vAlign w:val="center"/>
          </w:tcPr>
          <w:p>
            <w:pPr>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77"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000000"/>
                <w:kern w:val="0"/>
                <w:sz w:val="20"/>
                <w:szCs w:val="20"/>
              </w:rPr>
            </w:pPr>
          </w:p>
        </w:tc>
        <w:tc>
          <w:tcPr>
            <w:tcW w:w="2156" w:type="dxa"/>
            <w:gridSpan w:val="2"/>
            <w:tcBorders>
              <w:tl2br w:val="nil"/>
              <w:tr2bl w:val="nil"/>
            </w:tcBorders>
            <w:noWrap w:val="0"/>
            <w:vAlign w:val="center"/>
          </w:tcPr>
          <w:p>
            <w:pPr>
              <w:widowControl/>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其中：当年财政拨款　</w:t>
            </w:r>
          </w:p>
        </w:tc>
        <w:tc>
          <w:tcPr>
            <w:tcW w:w="1369"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w:t>
            </w:r>
          </w:p>
        </w:tc>
        <w:tc>
          <w:tcPr>
            <w:tcW w:w="988"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w:t>
            </w:r>
          </w:p>
        </w:tc>
        <w:tc>
          <w:tcPr>
            <w:tcW w:w="1132"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w:t>
            </w:r>
          </w:p>
        </w:tc>
        <w:tc>
          <w:tcPr>
            <w:tcW w:w="826"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p>
        </w:tc>
        <w:tc>
          <w:tcPr>
            <w:tcW w:w="871"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p>
        </w:tc>
        <w:tc>
          <w:tcPr>
            <w:tcW w:w="1420"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77"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000000"/>
                <w:kern w:val="0"/>
                <w:sz w:val="20"/>
                <w:szCs w:val="20"/>
              </w:rPr>
            </w:pPr>
          </w:p>
        </w:tc>
        <w:tc>
          <w:tcPr>
            <w:tcW w:w="2156" w:type="dxa"/>
            <w:gridSpan w:val="2"/>
            <w:tcBorders>
              <w:tl2br w:val="nil"/>
              <w:tr2bl w:val="nil"/>
            </w:tcBorders>
            <w:noWrap w:val="0"/>
            <w:vAlign w:val="center"/>
          </w:tcPr>
          <w:p>
            <w:pPr>
              <w:widowControl/>
              <w:ind w:firstLine="600" w:firstLineChars="30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上年结转资金　</w:t>
            </w:r>
          </w:p>
        </w:tc>
        <w:tc>
          <w:tcPr>
            <w:tcW w:w="1369"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p>
        </w:tc>
        <w:tc>
          <w:tcPr>
            <w:tcW w:w="988"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p>
        </w:tc>
        <w:tc>
          <w:tcPr>
            <w:tcW w:w="1132"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p>
        </w:tc>
        <w:tc>
          <w:tcPr>
            <w:tcW w:w="826"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p>
        </w:tc>
        <w:tc>
          <w:tcPr>
            <w:tcW w:w="871"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p>
        </w:tc>
        <w:tc>
          <w:tcPr>
            <w:tcW w:w="1420"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77"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000000"/>
                <w:kern w:val="0"/>
                <w:sz w:val="20"/>
                <w:szCs w:val="20"/>
              </w:rPr>
            </w:pPr>
          </w:p>
        </w:tc>
        <w:tc>
          <w:tcPr>
            <w:tcW w:w="2156" w:type="dxa"/>
            <w:gridSpan w:val="2"/>
            <w:tcBorders>
              <w:tl2br w:val="nil"/>
              <w:tr2bl w:val="nil"/>
            </w:tcBorders>
            <w:noWrap w:val="0"/>
            <w:vAlign w:val="center"/>
          </w:tcPr>
          <w:p>
            <w:pPr>
              <w:widowControl/>
              <w:ind w:firstLine="600" w:firstLineChars="30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其他资金</w:t>
            </w:r>
          </w:p>
        </w:tc>
        <w:tc>
          <w:tcPr>
            <w:tcW w:w="1369"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p>
        </w:tc>
        <w:tc>
          <w:tcPr>
            <w:tcW w:w="988"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p>
        </w:tc>
        <w:tc>
          <w:tcPr>
            <w:tcW w:w="1132"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p>
        </w:tc>
        <w:tc>
          <w:tcPr>
            <w:tcW w:w="826"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p>
        </w:tc>
        <w:tc>
          <w:tcPr>
            <w:tcW w:w="871"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p>
        </w:tc>
        <w:tc>
          <w:tcPr>
            <w:tcW w:w="1420"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77" w:type="dxa"/>
            <w:tcBorders>
              <w:tl2br w:val="nil"/>
              <w:tr2bl w:val="nil"/>
            </w:tcBorders>
            <w:noWrap w:val="0"/>
            <w:vAlign w:val="center"/>
          </w:tcPr>
          <w:p>
            <w:pPr>
              <w:widowControl/>
              <w:jc w:val="left"/>
              <w:rPr>
                <w:rFonts w:hint="default" w:ascii="Times New Roman" w:hAnsi="Times New Roman" w:eastAsia="仿宋_GB2312" w:cs="Times New Roman"/>
                <w:color w:val="000000"/>
                <w:kern w:val="0"/>
                <w:sz w:val="20"/>
                <w:szCs w:val="20"/>
              </w:rPr>
            </w:pPr>
          </w:p>
        </w:tc>
        <w:tc>
          <w:tcPr>
            <w:tcW w:w="2156" w:type="dxa"/>
            <w:gridSpan w:val="2"/>
            <w:tcBorders>
              <w:tl2br w:val="nil"/>
              <w:tr2bl w:val="nil"/>
            </w:tcBorders>
            <w:noWrap w:val="0"/>
            <w:vAlign w:val="center"/>
          </w:tcPr>
          <w:p>
            <w:pPr>
              <w:widowControl/>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年度资金总额　</w:t>
            </w:r>
          </w:p>
        </w:tc>
        <w:tc>
          <w:tcPr>
            <w:tcW w:w="1369"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rPr>
              <w:t>20</w:t>
            </w:r>
          </w:p>
        </w:tc>
        <w:tc>
          <w:tcPr>
            <w:tcW w:w="988"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rPr>
              <w:t>20</w:t>
            </w:r>
          </w:p>
        </w:tc>
        <w:tc>
          <w:tcPr>
            <w:tcW w:w="1132"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rPr>
              <w:t>20</w:t>
            </w:r>
          </w:p>
        </w:tc>
        <w:tc>
          <w:tcPr>
            <w:tcW w:w="826"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871"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w:t>
            </w:r>
          </w:p>
        </w:tc>
        <w:tc>
          <w:tcPr>
            <w:tcW w:w="1420"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lang w:val="en-US" w:eastAsia="zh-CN"/>
              </w:rPr>
            </w:pPr>
            <w:r>
              <w:rPr>
                <w:rFonts w:hint="default" w:ascii="Times New Roman" w:hAnsi="Times New Roman" w:eastAsia="仿宋_GB2312" w:cs="Times New Roman"/>
                <w:color w:val="000000"/>
                <w:kern w:val="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77" w:type="dxa"/>
            <w:vMerge w:val="restart"/>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年度总体目标</w:t>
            </w:r>
          </w:p>
        </w:tc>
        <w:tc>
          <w:tcPr>
            <w:tcW w:w="4513" w:type="dxa"/>
            <w:gridSpan w:val="4"/>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预期目标</w:t>
            </w:r>
          </w:p>
        </w:tc>
        <w:tc>
          <w:tcPr>
            <w:tcW w:w="4249" w:type="dxa"/>
            <w:gridSpan w:val="4"/>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000000"/>
                <w:kern w:val="0"/>
                <w:sz w:val="20"/>
                <w:szCs w:val="20"/>
              </w:rPr>
            </w:pPr>
          </w:p>
        </w:tc>
        <w:tc>
          <w:tcPr>
            <w:tcW w:w="4513" w:type="dxa"/>
            <w:gridSpan w:val="4"/>
            <w:tcBorders>
              <w:tl2br w:val="nil"/>
              <w:tr2bl w:val="nil"/>
            </w:tcBorders>
            <w:noWrap w:val="0"/>
            <w:vAlign w:val="center"/>
          </w:tcPr>
          <w:p>
            <w:pPr>
              <w:widowControl/>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旨在为株洲市企业增动力添活力铸实力，在制造业数字化转型、智能制造提升等方面提供战略视野、寻找实现路径和找到解决方案。为株洲企业家们提供了一个学习交流的平台，推进加强企业家队伍建设，为企业家们提供更多学习成长的机会和平台，加快推动株洲“培育制造名城 建设幸福株洲”。</w:t>
            </w:r>
          </w:p>
        </w:tc>
        <w:tc>
          <w:tcPr>
            <w:tcW w:w="4249" w:type="dxa"/>
            <w:gridSpan w:val="4"/>
            <w:tcBorders>
              <w:tl2br w:val="nil"/>
              <w:tr2bl w:val="nil"/>
            </w:tcBorders>
            <w:noWrap w:val="0"/>
            <w:vAlign w:val="center"/>
          </w:tcPr>
          <w:p>
            <w:pPr>
              <w:widowControl/>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企业家们不仅聆听了关于宏观经济趋势、产业发展方向、企业管理创新等方面的专题讲座，还参与了实地考察、交流研讨等多种形式的实践活动。组织企业家深入行业领军企业，如赛力斯、紫光华智、京东方、发那科、长安汽车研究院、重庆市集成电路产业展示中心，进行实地参观与学习，通过深入企业一线，了解行业最新动态和前沿技术，企业家们纷纷表示受益匪浅，对未来发展充满了信心和期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77" w:type="dxa"/>
            <w:vMerge w:val="restart"/>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绩</w:t>
            </w:r>
          </w:p>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效</w:t>
            </w:r>
          </w:p>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w:t>
            </w:r>
          </w:p>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标</w:t>
            </w:r>
          </w:p>
        </w:tc>
        <w:tc>
          <w:tcPr>
            <w:tcW w:w="107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一级指标</w:t>
            </w:r>
          </w:p>
        </w:tc>
        <w:tc>
          <w:tcPr>
            <w:tcW w:w="107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二级指标</w:t>
            </w:r>
          </w:p>
        </w:tc>
        <w:tc>
          <w:tcPr>
            <w:tcW w:w="136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三级指标</w:t>
            </w:r>
          </w:p>
        </w:tc>
        <w:tc>
          <w:tcPr>
            <w:tcW w:w="988"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年度</w:t>
            </w:r>
          </w:p>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指标值</w:t>
            </w:r>
          </w:p>
        </w:tc>
        <w:tc>
          <w:tcPr>
            <w:tcW w:w="1132"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实际</w:t>
            </w:r>
          </w:p>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完成值</w:t>
            </w:r>
          </w:p>
        </w:tc>
        <w:tc>
          <w:tcPr>
            <w:tcW w:w="82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分值</w:t>
            </w:r>
          </w:p>
        </w:tc>
        <w:tc>
          <w:tcPr>
            <w:tcW w:w="87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得分</w:t>
            </w:r>
          </w:p>
        </w:tc>
        <w:tc>
          <w:tcPr>
            <w:tcW w:w="1420"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偏差原因分析</w:t>
            </w:r>
          </w:p>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jc w:val="left"/>
              <w:rPr>
                <w:rFonts w:hint="default" w:ascii="Times New Roman" w:hAnsi="Times New Roman" w:eastAsia="仿宋_GB2312" w:cs="Times New Roman"/>
                <w:color w:val="000000"/>
                <w:kern w:val="0"/>
                <w:sz w:val="20"/>
                <w:szCs w:val="20"/>
              </w:rPr>
            </w:pPr>
          </w:p>
        </w:tc>
        <w:tc>
          <w:tcPr>
            <w:tcW w:w="1077" w:type="dxa"/>
            <w:vMerge w:val="restart"/>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产出指标</w:t>
            </w:r>
          </w:p>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（40分）</w:t>
            </w:r>
          </w:p>
        </w:tc>
        <w:tc>
          <w:tcPr>
            <w:tcW w:w="107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数量指标</w:t>
            </w:r>
          </w:p>
        </w:tc>
        <w:tc>
          <w:tcPr>
            <w:tcW w:w="1369" w:type="dxa"/>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开展研学活动</w:t>
            </w:r>
          </w:p>
        </w:tc>
        <w:tc>
          <w:tcPr>
            <w:tcW w:w="988"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lang w:val="en-US" w:eastAsia="zh-CN"/>
              </w:rPr>
              <w:t>=</w:t>
            </w:r>
            <w:r>
              <w:rPr>
                <w:rFonts w:hint="default" w:ascii="Times New Roman" w:hAnsi="Times New Roman" w:eastAsia="仿宋_GB2312" w:cs="Times New Roman"/>
                <w:color w:val="000000"/>
                <w:kern w:val="0"/>
                <w:sz w:val="20"/>
                <w:szCs w:val="20"/>
              </w:rPr>
              <w:t>1场/期</w:t>
            </w:r>
          </w:p>
        </w:tc>
        <w:tc>
          <w:tcPr>
            <w:tcW w:w="1132"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kern w:val="0"/>
                <w:sz w:val="20"/>
                <w:szCs w:val="20"/>
              </w:rPr>
              <w:t>1场/</w:t>
            </w:r>
            <w:r>
              <w:rPr>
                <w:rFonts w:hint="default" w:ascii="Times New Roman" w:hAnsi="Times New Roman" w:eastAsia="仿宋_GB2312" w:cs="Times New Roman"/>
                <w:color w:val="000000"/>
                <w:kern w:val="0"/>
                <w:sz w:val="20"/>
                <w:szCs w:val="20"/>
              </w:rPr>
              <w:t>期</w:t>
            </w:r>
          </w:p>
        </w:tc>
        <w:tc>
          <w:tcPr>
            <w:tcW w:w="82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w:t>
            </w:r>
          </w:p>
        </w:tc>
        <w:tc>
          <w:tcPr>
            <w:tcW w:w="87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w:t>
            </w:r>
          </w:p>
        </w:tc>
        <w:tc>
          <w:tcPr>
            <w:tcW w:w="1420"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jc w:val="left"/>
              <w:rPr>
                <w:rFonts w:hint="default" w:ascii="Times New Roman" w:hAnsi="Times New Roman" w:eastAsia="仿宋_GB2312" w:cs="Times New Roman"/>
                <w:color w:val="000000"/>
                <w:kern w:val="0"/>
                <w:sz w:val="20"/>
                <w:szCs w:val="20"/>
              </w:rPr>
            </w:pPr>
          </w:p>
        </w:tc>
        <w:tc>
          <w:tcPr>
            <w:tcW w:w="1077" w:type="dxa"/>
            <w:vMerge w:val="continue"/>
            <w:tcBorders>
              <w:tl2br w:val="nil"/>
              <w:tr2bl w:val="nil"/>
            </w:tcBorders>
            <w:noWrap w:val="0"/>
            <w:vAlign w:val="center"/>
          </w:tcPr>
          <w:p>
            <w:pPr>
              <w:spacing w:line="240" w:lineRule="exact"/>
              <w:jc w:val="left"/>
              <w:rPr>
                <w:rFonts w:hint="default" w:ascii="Times New Roman" w:hAnsi="Times New Roman" w:eastAsia="仿宋_GB2312" w:cs="Times New Roman"/>
                <w:color w:val="000000"/>
                <w:kern w:val="0"/>
                <w:sz w:val="20"/>
                <w:szCs w:val="20"/>
              </w:rPr>
            </w:pPr>
          </w:p>
        </w:tc>
        <w:tc>
          <w:tcPr>
            <w:tcW w:w="107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质量指标</w:t>
            </w:r>
          </w:p>
        </w:tc>
        <w:tc>
          <w:tcPr>
            <w:tcW w:w="1369" w:type="dxa"/>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验收合格率</w:t>
            </w:r>
          </w:p>
        </w:tc>
        <w:tc>
          <w:tcPr>
            <w:tcW w:w="988"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w:t>
            </w:r>
          </w:p>
        </w:tc>
        <w:tc>
          <w:tcPr>
            <w:tcW w:w="1132"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rPr>
            </w:pPr>
            <w:r>
              <w:rPr>
                <w:rFonts w:hint="default" w:ascii="Times New Roman" w:hAnsi="Times New Roman" w:eastAsia="仿宋_GB2312" w:cs="Times New Roman"/>
                <w:color w:val="000000"/>
                <w:kern w:val="0"/>
                <w:sz w:val="20"/>
                <w:szCs w:val="20"/>
                <w:lang w:val="en-US" w:eastAsia="zh-CN"/>
              </w:rPr>
              <w:t>100%</w:t>
            </w:r>
          </w:p>
        </w:tc>
        <w:tc>
          <w:tcPr>
            <w:tcW w:w="82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87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420"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jc w:val="left"/>
              <w:rPr>
                <w:rFonts w:hint="default" w:ascii="Times New Roman" w:hAnsi="Times New Roman" w:eastAsia="仿宋_GB2312" w:cs="Times New Roman"/>
                <w:color w:val="000000"/>
                <w:kern w:val="0"/>
                <w:sz w:val="20"/>
                <w:szCs w:val="20"/>
              </w:rPr>
            </w:pPr>
          </w:p>
        </w:tc>
        <w:tc>
          <w:tcPr>
            <w:tcW w:w="1077" w:type="dxa"/>
            <w:vMerge w:val="continue"/>
            <w:tcBorders>
              <w:tl2br w:val="nil"/>
              <w:tr2bl w:val="nil"/>
            </w:tcBorders>
            <w:noWrap w:val="0"/>
            <w:vAlign w:val="center"/>
          </w:tcPr>
          <w:p>
            <w:pPr>
              <w:spacing w:line="240" w:lineRule="exact"/>
              <w:jc w:val="left"/>
              <w:rPr>
                <w:rFonts w:hint="default" w:ascii="Times New Roman" w:hAnsi="Times New Roman" w:eastAsia="仿宋_GB2312" w:cs="Times New Roman"/>
                <w:color w:val="000000"/>
                <w:kern w:val="0"/>
                <w:sz w:val="20"/>
                <w:szCs w:val="20"/>
              </w:rPr>
            </w:pPr>
          </w:p>
        </w:tc>
        <w:tc>
          <w:tcPr>
            <w:tcW w:w="107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时效指标</w:t>
            </w:r>
          </w:p>
        </w:tc>
        <w:tc>
          <w:tcPr>
            <w:tcW w:w="1369" w:type="dxa"/>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资金到位时效</w:t>
            </w:r>
          </w:p>
        </w:tc>
        <w:tc>
          <w:tcPr>
            <w:tcW w:w="988"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是否及时</w:t>
            </w:r>
          </w:p>
        </w:tc>
        <w:tc>
          <w:tcPr>
            <w:tcW w:w="1132"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及时</w:t>
            </w:r>
          </w:p>
        </w:tc>
        <w:tc>
          <w:tcPr>
            <w:tcW w:w="82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87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420"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jc w:val="left"/>
              <w:rPr>
                <w:rFonts w:hint="default" w:ascii="Times New Roman" w:hAnsi="Times New Roman" w:eastAsia="仿宋_GB2312" w:cs="Times New Roman"/>
                <w:color w:val="000000"/>
                <w:kern w:val="0"/>
                <w:sz w:val="20"/>
                <w:szCs w:val="20"/>
              </w:rPr>
            </w:pPr>
          </w:p>
        </w:tc>
        <w:tc>
          <w:tcPr>
            <w:tcW w:w="1077" w:type="dxa"/>
            <w:vMerge w:val="restart"/>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效益指标</w:t>
            </w:r>
          </w:p>
          <w:p>
            <w:pPr>
              <w:widowControl/>
              <w:spacing w:line="24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（20分）</w:t>
            </w:r>
          </w:p>
        </w:tc>
        <w:tc>
          <w:tcPr>
            <w:tcW w:w="107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经济效</w:t>
            </w:r>
          </w:p>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益指标</w:t>
            </w:r>
          </w:p>
        </w:tc>
        <w:tc>
          <w:tcPr>
            <w:tcW w:w="136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rPr>
            </w:pPr>
            <w:r>
              <w:rPr>
                <w:rFonts w:hint="default" w:ascii="Times New Roman" w:hAnsi="Times New Roman" w:eastAsia="仿宋_GB2312" w:cs="Times New Roman"/>
                <w:color w:val="000000"/>
                <w:kern w:val="0"/>
                <w:sz w:val="20"/>
                <w:szCs w:val="20"/>
                <w:lang w:val="en-US" w:eastAsia="zh-CN"/>
              </w:rPr>
              <w:t>/</w:t>
            </w:r>
          </w:p>
        </w:tc>
        <w:tc>
          <w:tcPr>
            <w:tcW w:w="988"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rPr>
            </w:pPr>
            <w:r>
              <w:rPr>
                <w:rFonts w:hint="default" w:ascii="Times New Roman" w:hAnsi="Times New Roman" w:eastAsia="仿宋_GB2312" w:cs="Times New Roman"/>
                <w:color w:val="000000"/>
                <w:kern w:val="0"/>
                <w:sz w:val="20"/>
                <w:szCs w:val="20"/>
                <w:lang w:val="en-US" w:eastAsia="zh-CN"/>
              </w:rPr>
              <w:t>/</w:t>
            </w:r>
          </w:p>
        </w:tc>
        <w:tc>
          <w:tcPr>
            <w:tcW w:w="1132"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rPr>
            </w:pPr>
            <w:r>
              <w:rPr>
                <w:rFonts w:hint="default" w:ascii="Times New Roman" w:hAnsi="Times New Roman" w:eastAsia="仿宋_GB2312" w:cs="Times New Roman"/>
                <w:color w:val="000000"/>
                <w:kern w:val="0"/>
                <w:sz w:val="20"/>
                <w:szCs w:val="20"/>
                <w:lang w:val="en-US" w:eastAsia="zh-CN"/>
              </w:rPr>
              <w:t>/</w:t>
            </w:r>
          </w:p>
        </w:tc>
        <w:tc>
          <w:tcPr>
            <w:tcW w:w="82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rPr>
            </w:pPr>
            <w:r>
              <w:rPr>
                <w:rFonts w:hint="default" w:ascii="Times New Roman" w:hAnsi="Times New Roman" w:eastAsia="仿宋_GB2312" w:cs="Times New Roman"/>
                <w:color w:val="000000"/>
                <w:kern w:val="0"/>
                <w:sz w:val="20"/>
                <w:szCs w:val="20"/>
                <w:lang w:val="en-US" w:eastAsia="zh-CN"/>
              </w:rPr>
              <w:t>/</w:t>
            </w:r>
          </w:p>
        </w:tc>
        <w:tc>
          <w:tcPr>
            <w:tcW w:w="87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rPr>
            </w:pPr>
            <w:r>
              <w:rPr>
                <w:rFonts w:hint="default" w:ascii="Times New Roman" w:hAnsi="Times New Roman" w:eastAsia="仿宋_GB2312" w:cs="Times New Roman"/>
                <w:color w:val="000000"/>
                <w:kern w:val="0"/>
                <w:sz w:val="20"/>
                <w:szCs w:val="20"/>
                <w:lang w:val="en-US" w:eastAsia="zh-CN"/>
              </w:rPr>
              <w:t>/</w:t>
            </w:r>
          </w:p>
        </w:tc>
        <w:tc>
          <w:tcPr>
            <w:tcW w:w="1420"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jc w:val="left"/>
              <w:rPr>
                <w:rFonts w:hint="default" w:ascii="Times New Roman" w:hAnsi="Times New Roman" w:eastAsia="仿宋_GB2312" w:cs="Times New Roman"/>
                <w:color w:val="000000"/>
                <w:kern w:val="0"/>
                <w:sz w:val="20"/>
                <w:szCs w:val="20"/>
              </w:rPr>
            </w:pPr>
          </w:p>
        </w:tc>
        <w:tc>
          <w:tcPr>
            <w:tcW w:w="1077" w:type="dxa"/>
            <w:vMerge w:val="continue"/>
            <w:tcBorders>
              <w:tl2br w:val="nil"/>
              <w:tr2bl w:val="nil"/>
            </w:tcBorders>
            <w:noWrap w:val="0"/>
            <w:vAlign w:val="center"/>
          </w:tcPr>
          <w:p>
            <w:pPr>
              <w:spacing w:line="240" w:lineRule="exact"/>
              <w:jc w:val="left"/>
              <w:rPr>
                <w:rFonts w:hint="default" w:ascii="Times New Roman" w:hAnsi="Times New Roman" w:eastAsia="仿宋_GB2312" w:cs="Times New Roman"/>
                <w:color w:val="000000"/>
                <w:kern w:val="0"/>
                <w:sz w:val="20"/>
                <w:szCs w:val="20"/>
              </w:rPr>
            </w:pPr>
          </w:p>
        </w:tc>
        <w:tc>
          <w:tcPr>
            <w:tcW w:w="107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社会效</w:t>
            </w:r>
          </w:p>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益指标</w:t>
            </w:r>
          </w:p>
        </w:tc>
        <w:tc>
          <w:tcPr>
            <w:tcW w:w="1369" w:type="dxa"/>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为株洲市企业增动力添活力铸实力</w:t>
            </w:r>
          </w:p>
        </w:tc>
        <w:tc>
          <w:tcPr>
            <w:tcW w:w="988"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是否提升</w:t>
            </w:r>
          </w:p>
        </w:tc>
        <w:tc>
          <w:tcPr>
            <w:tcW w:w="1132"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明显提升</w:t>
            </w:r>
          </w:p>
        </w:tc>
        <w:tc>
          <w:tcPr>
            <w:tcW w:w="82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87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420"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jc w:val="left"/>
              <w:rPr>
                <w:rFonts w:hint="default" w:ascii="Times New Roman" w:hAnsi="Times New Roman" w:eastAsia="仿宋_GB2312" w:cs="Times New Roman"/>
                <w:color w:val="000000"/>
                <w:kern w:val="0"/>
                <w:sz w:val="20"/>
                <w:szCs w:val="20"/>
              </w:rPr>
            </w:pPr>
          </w:p>
        </w:tc>
        <w:tc>
          <w:tcPr>
            <w:tcW w:w="1077" w:type="dxa"/>
            <w:vMerge w:val="continue"/>
            <w:tcBorders>
              <w:tl2br w:val="nil"/>
              <w:tr2bl w:val="nil"/>
            </w:tcBorders>
            <w:noWrap w:val="0"/>
            <w:vAlign w:val="center"/>
          </w:tcPr>
          <w:p>
            <w:pPr>
              <w:spacing w:line="240" w:lineRule="exact"/>
              <w:jc w:val="left"/>
              <w:rPr>
                <w:rFonts w:hint="default" w:ascii="Times New Roman" w:hAnsi="Times New Roman" w:eastAsia="仿宋_GB2312" w:cs="Times New Roman"/>
                <w:color w:val="000000"/>
                <w:kern w:val="0"/>
                <w:sz w:val="20"/>
                <w:szCs w:val="20"/>
              </w:rPr>
            </w:pPr>
          </w:p>
        </w:tc>
        <w:tc>
          <w:tcPr>
            <w:tcW w:w="1079" w:type="dxa"/>
            <w:vMerge w:val="restart"/>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rPr>
              <w:t>可持续影响指标</w:t>
            </w:r>
          </w:p>
        </w:tc>
        <w:tc>
          <w:tcPr>
            <w:tcW w:w="136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bidi="ar-SA"/>
              </w:rPr>
            </w:pPr>
            <w:r>
              <w:rPr>
                <w:rFonts w:hint="eastAsia" w:ascii="Times New Roman" w:hAnsi="Times New Roman" w:eastAsia="仿宋_GB2312" w:cs="Times New Roman"/>
                <w:color w:val="000000"/>
                <w:kern w:val="0"/>
                <w:sz w:val="20"/>
                <w:szCs w:val="20"/>
                <w:lang w:val="en-US" w:eastAsia="zh-CN"/>
              </w:rPr>
              <w:t>提升企业家的发展信心</w:t>
            </w:r>
          </w:p>
        </w:tc>
        <w:tc>
          <w:tcPr>
            <w:tcW w:w="988"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bidi="ar-SA"/>
              </w:rPr>
            </w:pPr>
            <w:r>
              <w:rPr>
                <w:rFonts w:hint="eastAsia" w:ascii="Times New Roman" w:hAnsi="Times New Roman" w:eastAsia="仿宋_GB2312" w:cs="Times New Roman"/>
                <w:color w:val="000000"/>
                <w:kern w:val="0"/>
                <w:sz w:val="20"/>
                <w:szCs w:val="20"/>
                <w:lang w:val="en-US" w:eastAsia="zh-CN"/>
              </w:rPr>
              <w:t>是否提升</w:t>
            </w:r>
          </w:p>
        </w:tc>
        <w:tc>
          <w:tcPr>
            <w:tcW w:w="1132"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bidi="ar-SA"/>
              </w:rPr>
            </w:pPr>
            <w:r>
              <w:rPr>
                <w:rFonts w:hint="eastAsia" w:ascii="Times New Roman" w:hAnsi="Times New Roman" w:eastAsia="仿宋_GB2312" w:cs="Times New Roman"/>
                <w:color w:val="000000"/>
                <w:kern w:val="0"/>
                <w:sz w:val="20"/>
                <w:szCs w:val="20"/>
                <w:lang w:val="en-US" w:eastAsia="zh-CN"/>
              </w:rPr>
              <w:t>明显提升</w:t>
            </w:r>
          </w:p>
        </w:tc>
        <w:tc>
          <w:tcPr>
            <w:tcW w:w="82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bidi="ar-SA"/>
              </w:rPr>
            </w:pPr>
            <w:r>
              <w:rPr>
                <w:rFonts w:hint="eastAsia" w:ascii="Times New Roman" w:hAnsi="Times New Roman" w:eastAsia="仿宋_GB2312" w:cs="Times New Roman"/>
                <w:color w:val="000000"/>
                <w:kern w:val="0"/>
                <w:sz w:val="20"/>
                <w:szCs w:val="20"/>
                <w:lang w:val="en-US" w:eastAsia="zh-CN"/>
              </w:rPr>
              <w:t>5</w:t>
            </w:r>
          </w:p>
        </w:tc>
        <w:tc>
          <w:tcPr>
            <w:tcW w:w="87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bidi="ar-SA"/>
              </w:rPr>
            </w:pPr>
            <w:r>
              <w:rPr>
                <w:rFonts w:hint="eastAsia" w:ascii="Times New Roman" w:hAnsi="Times New Roman" w:eastAsia="仿宋_GB2312" w:cs="Times New Roman"/>
                <w:color w:val="000000"/>
                <w:kern w:val="0"/>
                <w:sz w:val="20"/>
                <w:szCs w:val="20"/>
                <w:lang w:val="en-US" w:eastAsia="zh-CN"/>
              </w:rPr>
              <w:t>5</w:t>
            </w:r>
          </w:p>
        </w:tc>
        <w:tc>
          <w:tcPr>
            <w:tcW w:w="1420"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jc w:val="left"/>
              <w:rPr>
                <w:rFonts w:hint="default" w:ascii="Times New Roman" w:hAnsi="Times New Roman" w:eastAsia="仿宋_GB2312" w:cs="Times New Roman"/>
                <w:color w:val="000000"/>
                <w:kern w:val="0"/>
                <w:sz w:val="20"/>
                <w:szCs w:val="20"/>
              </w:rPr>
            </w:pPr>
          </w:p>
        </w:tc>
        <w:tc>
          <w:tcPr>
            <w:tcW w:w="1077" w:type="dxa"/>
            <w:vMerge w:val="continue"/>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rPr>
            </w:pPr>
          </w:p>
        </w:tc>
        <w:tc>
          <w:tcPr>
            <w:tcW w:w="1079" w:type="dxa"/>
            <w:vMerge w:val="continue"/>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p>
        </w:tc>
        <w:tc>
          <w:tcPr>
            <w:tcW w:w="1369" w:type="dxa"/>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为企业和企业家在制造业数字化转型、智能制造提升等方面提供战略视野、寻找实现路径和找到解决方案</w:t>
            </w:r>
          </w:p>
        </w:tc>
        <w:tc>
          <w:tcPr>
            <w:tcW w:w="988"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是否提升</w:t>
            </w:r>
          </w:p>
        </w:tc>
        <w:tc>
          <w:tcPr>
            <w:tcW w:w="1132"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明显提升</w:t>
            </w:r>
          </w:p>
        </w:tc>
        <w:tc>
          <w:tcPr>
            <w:tcW w:w="826"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5</w:t>
            </w:r>
          </w:p>
        </w:tc>
        <w:tc>
          <w:tcPr>
            <w:tcW w:w="871"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5</w:t>
            </w:r>
          </w:p>
        </w:tc>
        <w:tc>
          <w:tcPr>
            <w:tcW w:w="1420"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77" w:type="dxa"/>
            <w:vMerge w:val="continue"/>
            <w:tcBorders>
              <w:tl2br w:val="nil"/>
              <w:tr2bl w:val="nil"/>
            </w:tcBorders>
            <w:noWrap w:val="0"/>
            <w:vAlign w:val="center"/>
          </w:tcPr>
          <w:p>
            <w:pPr>
              <w:jc w:val="left"/>
              <w:rPr>
                <w:rFonts w:hint="default" w:ascii="Times New Roman" w:hAnsi="Times New Roman" w:eastAsia="仿宋_GB2312" w:cs="Times New Roman"/>
                <w:color w:val="000000"/>
                <w:kern w:val="0"/>
                <w:sz w:val="20"/>
                <w:szCs w:val="20"/>
              </w:rPr>
            </w:pPr>
          </w:p>
        </w:tc>
        <w:tc>
          <w:tcPr>
            <w:tcW w:w="107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满意度</w:t>
            </w:r>
          </w:p>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w:t>
            </w:r>
          </w:p>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（10分）</w:t>
            </w:r>
          </w:p>
        </w:tc>
        <w:tc>
          <w:tcPr>
            <w:tcW w:w="107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服务对象满意度指标</w:t>
            </w:r>
          </w:p>
        </w:tc>
        <w:tc>
          <w:tcPr>
            <w:tcW w:w="1369" w:type="dxa"/>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参训学员有获得感满意</w:t>
            </w:r>
          </w:p>
        </w:tc>
        <w:tc>
          <w:tcPr>
            <w:tcW w:w="988"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东文宋体" w:cs="Times New Roman"/>
                <w:color w:val="000000"/>
                <w:kern w:val="0"/>
                <w:sz w:val="20"/>
                <w:szCs w:val="20"/>
              </w:rPr>
              <w:t>≥</w:t>
            </w:r>
            <w:r>
              <w:rPr>
                <w:rFonts w:hint="default" w:ascii="Times New Roman" w:hAnsi="Times New Roman" w:eastAsia="仿宋_GB2312" w:cs="Times New Roman"/>
                <w:color w:val="000000"/>
                <w:kern w:val="0"/>
                <w:sz w:val="20"/>
                <w:szCs w:val="20"/>
              </w:rPr>
              <w:t>90%</w:t>
            </w:r>
          </w:p>
        </w:tc>
        <w:tc>
          <w:tcPr>
            <w:tcW w:w="1132"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kern w:val="0"/>
                <w:sz w:val="20"/>
                <w:szCs w:val="20"/>
              </w:rPr>
              <w:t>94.99%</w:t>
            </w:r>
          </w:p>
        </w:tc>
        <w:tc>
          <w:tcPr>
            <w:tcW w:w="82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87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420"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jc w:val="left"/>
              <w:rPr>
                <w:rFonts w:hint="default" w:ascii="Times New Roman" w:hAnsi="Times New Roman" w:eastAsia="仿宋_GB2312" w:cs="Times New Roman"/>
                <w:color w:val="000000"/>
                <w:kern w:val="0"/>
                <w:sz w:val="20"/>
                <w:szCs w:val="20"/>
              </w:rPr>
            </w:pPr>
          </w:p>
        </w:tc>
        <w:tc>
          <w:tcPr>
            <w:tcW w:w="1077" w:type="dxa"/>
            <w:vMerge w:val="restart"/>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成本指标（20分）</w:t>
            </w:r>
          </w:p>
        </w:tc>
        <w:tc>
          <w:tcPr>
            <w:tcW w:w="107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经济成本指标</w:t>
            </w:r>
          </w:p>
        </w:tc>
        <w:tc>
          <w:tcPr>
            <w:tcW w:w="1369" w:type="dxa"/>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研学费用</w:t>
            </w:r>
          </w:p>
        </w:tc>
        <w:tc>
          <w:tcPr>
            <w:tcW w:w="988"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东文宋体" w:cs="Times New Roman"/>
                <w:color w:val="000000"/>
                <w:kern w:val="0"/>
                <w:sz w:val="20"/>
                <w:szCs w:val="20"/>
              </w:rPr>
              <w:t>≤</w:t>
            </w:r>
            <w:r>
              <w:rPr>
                <w:rFonts w:hint="default" w:ascii="Times New Roman" w:hAnsi="Times New Roman" w:eastAsia="仿宋_GB2312" w:cs="Times New Roman"/>
                <w:color w:val="000000"/>
                <w:kern w:val="0"/>
                <w:sz w:val="20"/>
                <w:szCs w:val="20"/>
              </w:rPr>
              <w:t>20万元</w:t>
            </w:r>
          </w:p>
        </w:tc>
        <w:tc>
          <w:tcPr>
            <w:tcW w:w="1132"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20万元</w:t>
            </w:r>
          </w:p>
        </w:tc>
        <w:tc>
          <w:tcPr>
            <w:tcW w:w="82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w:t>
            </w:r>
          </w:p>
        </w:tc>
        <w:tc>
          <w:tcPr>
            <w:tcW w:w="87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w:t>
            </w:r>
          </w:p>
        </w:tc>
        <w:tc>
          <w:tcPr>
            <w:tcW w:w="1420"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jc w:val="left"/>
              <w:rPr>
                <w:rFonts w:hint="default" w:ascii="Times New Roman" w:hAnsi="Times New Roman" w:eastAsia="仿宋_GB2312" w:cs="Times New Roman"/>
                <w:color w:val="000000"/>
                <w:kern w:val="0"/>
                <w:sz w:val="20"/>
                <w:szCs w:val="20"/>
              </w:rPr>
            </w:pPr>
          </w:p>
        </w:tc>
        <w:tc>
          <w:tcPr>
            <w:tcW w:w="1077" w:type="dxa"/>
            <w:vMerge w:val="continue"/>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rPr>
            </w:pPr>
          </w:p>
        </w:tc>
        <w:tc>
          <w:tcPr>
            <w:tcW w:w="107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社会成本指标</w:t>
            </w:r>
          </w:p>
        </w:tc>
        <w:tc>
          <w:tcPr>
            <w:tcW w:w="136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rPr>
              <w:t>/</w:t>
            </w:r>
          </w:p>
        </w:tc>
        <w:tc>
          <w:tcPr>
            <w:tcW w:w="988"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rPr>
              <w:t>/</w:t>
            </w:r>
          </w:p>
        </w:tc>
        <w:tc>
          <w:tcPr>
            <w:tcW w:w="1132"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rPr>
              <w:t>/</w:t>
            </w:r>
          </w:p>
        </w:tc>
        <w:tc>
          <w:tcPr>
            <w:tcW w:w="82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rPr>
              <w:t>/</w:t>
            </w:r>
          </w:p>
        </w:tc>
        <w:tc>
          <w:tcPr>
            <w:tcW w:w="87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rPr>
              <w:t>/</w:t>
            </w:r>
          </w:p>
        </w:tc>
        <w:tc>
          <w:tcPr>
            <w:tcW w:w="1420"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77"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000000"/>
                <w:kern w:val="0"/>
                <w:sz w:val="20"/>
                <w:szCs w:val="20"/>
              </w:rPr>
            </w:pPr>
          </w:p>
        </w:tc>
        <w:tc>
          <w:tcPr>
            <w:tcW w:w="1077" w:type="dxa"/>
            <w:vMerge w:val="continue"/>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0"/>
                <w:szCs w:val="20"/>
              </w:rPr>
            </w:pPr>
          </w:p>
        </w:tc>
        <w:tc>
          <w:tcPr>
            <w:tcW w:w="107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生态环境成本指标</w:t>
            </w:r>
          </w:p>
        </w:tc>
        <w:tc>
          <w:tcPr>
            <w:tcW w:w="136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rPr>
              <w:t>/</w:t>
            </w:r>
          </w:p>
        </w:tc>
        <w:tc>
          <w:tcPr>
            <w:tcW w:w="988"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rPr>
              <w:t>/</w:t>
            </w:r>
          </w:p>
        </w:tc>
        <w:tc>
          <w:tcPr>
            <w:tcW w:w="1132"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rPr>
              <w:t>/</w:t>
            </w:r>
          </w:p>
        </w:tc>
        <w:tc>
          <w:tcPr>
            <w:tcW w:w="82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rPr>
              <w:t>/</w:t>
            </w:r>
          </w:p>
        </w:tc>
        <w:tc>
          <w:tcPr>
            <w:tcW w:w="87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rPr>
              <w:t>/</w:t>
            </w:r>
          </w:p>
        </w:tc>
        <w:tc>
          <w:tcPr>
            <w:tcW w:w="1420"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722" w:type="dxa"/>
            <w:gridSpan w:val="6"/>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总分</w:t>
            </w:r>
          </w:p>
        </w:tc>
        <w:tc>
          <w:tcPr>
            <w:tcW w:w="826"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w:t>
            </w:r>
          </w:p>
        </w:tc>
        <w:tc>
          <w:tcPr>
            <w:tcW w:w="871"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0"/>
                <w:szCs w:val="20"/>
                <w:lang w:val="en-US" w:eastAsia="zh-CN"/>
              </w:rPr>
            </w:pPr>
            <w:r>
              <w:rPr>
                <w:rFonts w:hint="default" w:ascii="Times New Roman" w:hAnsi="Times New Roman" w:eastAsia="仿宋_GB2312" w:cs="Times New Roman"/>
                <w:color w:val="000000"/>
                <w:kern w:val="0"/>
                <w:sz w:val="20"/>
                <w:szCs w:val="20"/>
                <w:lang w:val="en-US" w:eastAsia="zh-CN"/>
              </w:rPr>
              <w:t>10</w:t>
            </w:r>
            <w:r>
              <w:rPr>
                <w:rFonts w:hint="eastAsia" w:ascii="Times New Roman" w:hAnsi="Times New Roman" w:eastAsia="仿宋_GB2312" w:cs="Times New Roman"/>
                <w:color w:val="000000"/>
                <w:kern w:val="0"/>
                <w:sz w:val="20"/>
                <w:szCs w:val="20"/>
                <w:lang w:val="en-US" w:eastAsia="zh-CN"/>
              </w:rPr>
              <w:t>0</w:t>
            </w:r>
          </w:p>
        </w:tc>
        <w:tc>
          <w:tcPr>
            <w:tcW w:w="1420" w:type="dxa"/>
            <w:tcBorders>
              <w:tl2br w:val="nil"/>
              <w:tr2bl w:val="nil"/>
            </w:tcBorders>
            <w:noWrap w:val="0"/>
            <w:vAlign w:val="center"/>
          </w:tcPr>
          <w:p>
            <w:pPr>
              <w:widowControl/>
              <w:jc w:val="left"/>
              <w:rPr>
                <w:rFonts w:hint="default" w:ascii="Times New Roman" w:hAnsi="Times New Roman" w:eastAsia="仿宋_GB2312" w:cs="Times New Roman"/>
                <w:color w:val="000000"/>
                <w:kern w:val="0"/>
                <w:sz w:val="20"/>
                <w:szCs w:val="20"/>
              </w:rPr>
            </w:pPr>
          </w:p>
        </w:tc>
      </w:tr>
    </w:tbl>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仿宋_GB2312" w:cs="Times New Roman"/>
          <w:kern w:val="0"/>
          <w:sz w:val="28"/>
          <w:szCs w:val="28"/>
        </w:rPr>
        <w:br w:type="page"/>
      </w:r>
      <w:r>
        <w:rPr>
          <w:rFonts w:hint="default" w:ascii="Times New Roman" w:hAnsi="Times New Roman" w:eastAsia="方正小标宋简体" w:cs="Times New Roman"/>
          <w:color w:val="000000"/>
          <w:kern w:val="0"/>
          <w:sz w:val="41"/>
          <w:szCs w:val="41"/>
          <w:lang w:val="en-US" w:eastAsia="zh-CN" w:bidi="ar"/>
        </w:rPr>
        <w:t>2024年度企业办事不求人工作经费</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1"/>
          <w:szCs w:val="41"/>
          <w:lang w:val="en-US" w:eastAsia="zh-CN" w:bidi="ar"/>
        </w:rPr>
        <w:t>绩效自评报告</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楷体_GB2312" w:cs="Times New Roman"/>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一、预算收支出情况</w:t>
      </w:r>
      <w:r>
        <w:rPr>
          <w:rFonts w:hint="default" w:ascii="Times New Roman" w:hAnsi="Times New Roman" w:eastAsia="楷体" w:cs="Times New Roman"/>
          <w:b/>
          <w:bCs/>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2024年预算收入23.22万元，其中年初预算</w:t>
      </w:r>
      <w:r>
        <w:rPr>
          <w:rFonts w:hint="eastAsia" w:ascii="Times New Roman" w:hAnsi="Times New Roman" w:eastAsia="仿宋_GB2312" w:cs="Times New Roman"/>
          <w:color w:val="000000"/>
          <w:kern w:val="0"/>
          <w:sz w:val="32"/>
          <w:szCs w:val="32"/>
          <w:lang w:val="en-US" w:eastAsia="zh-CN" w:bidi="ar"/>
        </w:rPr>
        <w:t>65</w:t>
      </w:r>
      <w:r>
        <w:rPr>
          <w:rFonts w:hint="default" w:ascii="Times New Roman" w:hAnsi="Times New Roman" w:eastAsia="仿宋_GB2312" w:cs="Times New Roman"/>
          <w:color w:val="000000"/>
          <w:kern w:val="0"/>
          <w:sz w:val="32"/>
          <w:szCs w:val="32"/>
          <w:lang w:val="en-US" w:eastAsia="zh-CN" w:bidi="ar"/>
        </w:rPr>
        <w:t>万元，实际支出23.22万元。</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二、项目支出绩效情况</w:t>
      </w:r>
      <w:r>
        <w:rPr>
          <w:rFonts w:hint="default" w:ascii="Times New Roman" w:hAnsi="Times New Roman" w:eastAsia="楷体" w:cs="Times New Roman"/>
          <w:b/>
          <w:bCs/>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kern w:val="0"/>
          <w:sz w:val="32"/>
          <w:szCs w:val="32"/>
          <w:rtl w:val="0"/>
          <w:lang w:val="en-US" w:eastAsia="zh-CN" w:bidi="ar"/>
        </w:rPr>
      </w:pPr>
      <w:r>
        <w:rPr>
          <w:rFonts w:hint="default" w:ascii="Times New Roman" w:hAnsi="Times New Roman" w:eastAsia="仿宋_GB2312" w:cs="Times New Roman"/>
          <w:color w:val="000000"/>
          <w:kern w:val="0"/>
          <w:sz w:val="32"/>
          <w:szCs w:val="32"/>
          <w:lang w:val="en-US" w:eastAsia="zh-CN" w:bidi="ar"/>
        </w:rPr>
        <w:t>2024年度企业办事不求人工作经费支出23.22万元，主要用于支出：1.支付聘用人员工资；2.支付“企业办事不求人”派单系统运维服务合同首付款；3.支付惠企视频拍摄制作合同首付款；4.支付惠企活动直播录播合同首付款。项目实施及绩效情况如下：</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b w:val="0"/>
          <w:bCs w:val="0"/>
          <w:color w:val="000000"/>
          <w:kern w:val="0"/>
          <w:sz w:val="32"/>
          <w:szCs w:val="32"/>
          <w:rtl w:val="0"/>
          <w:lang w:val="en-US" w:eastAsia="zh-CN" w:bidi="ar"/>
        </w:rPr>
      </w:pPr>
      <w:r>
        <w:rPr>
          <w:rFonts w:hint="default" w:ascii="Times New Roman" w:hAnsi="Times New Roman" w:eastAsia="仿宋_GB2312" w:cs="Times New Roman"/>
          <w:b w:val="0"/>
          <w:bCs w:val="0"/>
          <w:color w:val="000000"/>
          <w:kern w:val="0"/>
          <w:sz w:val="32"/>
          <w:szCs w:val="32"/>
          <w:rtl w:val="0"/>
          <w:lang w:val="en-US" w:eastAsia="zh-CN" w:bidi="ar"/>
        </w:rPr>
        <w:t xml:space="preserve">    （一）开展一系列活动，丰富宣传形式。为深度解读最新最热的惠企政策，帮助企业用好用准政策，引入企业喜闻乐见的视频、图文、口袋书、授课等形式，通过自制“政策会客厅”“跟着工信 探株企”等“秒懂”短视频，《工业领域大规模设备更新政策干货图解》等“指尖引导”图文、《“两重”“两新”惠企政策一本通（3.0版）》等线上口袋书、以及“周末企业大讲堂”等线下课堂，提升政策解读的实效性、可读性和接受度。截止目前，摄制“政策会客厅”“跟着工信 探株企”短视频共9期；为企业更全面、更及时掌握和享受政策提供指南，发放口袋书（3.0版）3000余册；组织举办“周末企业大讲堂”活动5场，线上、线下企业共计1万人次参与学习。</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 xml:space="preserve">    （二）</w:t>
      </w:r>
      <w:r>
        <w:rPr>
          <w:rFonts w:hint="default" w:ascii="Times New Roman" w:hAnsi="Times New Roman" w:eastAsia="仿宋_GB2312" w:cs="Times New Roman"/>
          <w:color w:val="auto"/>
          <w:kern w:val="2"/>
          <w:sz w:val="32"/>
          <w:szCs w:val="32"/>
          <w:lang w:val="en-US" w:eastAsia="zh-CN" w:bidi="ar-SA"/>
        </w:rPr>
        <w:t>2024年，“企业办事不求人”工作专班共办理企业问题3112件，办结3021件，办结率97.08%，满意率94.99%。</w:t>
      </w:r>
      <w:r>
        <w:rPr>
          <w:rFonts w:hint="default" w:ascii="Times New Roman" w:hAnsi="Times New Roman" w:eastAsia="仿宋_GB2312" w:cs="Times New Roman"/>
          <w:sz w:val="32"/>
          <w:szCs w:val="32"/>
          <w:lang w:val="en-US" w:eastAsia="zh-CN"/>
        </w:rPr>
        <w:t>其中，</w:t>
      </w:r>
      <w:r>
        <w:rPr>
          <w:rFonts w:hint="default" w:ascii="Times New Roman" w:hAnsi="Times New Roman" w:eastAsia="仿宋_GB2312" w:cs="Times New Roman"/>
          <w:b w:val="0"/>
          <w:bCs w:val="0"/>
          <w:kern w:val="2"/>
          <w:sz w:val="32"/>
          <w:szCs w:val="32"/>
          <w:lang w:val="en-US" w:eastAsia="zh-CN" w:bidi="ar-SA"/>
        </w:rPr>
        <w:t>通过与市区两级纪委微群办的联合督导，助推服饰二路修建工程提前竣工，解决周边企业员工出行难的问题，</w:t>
      </w:r>
      <w:r>
        <w:rPr>
          <w:rFonts w:hint="default" w:ascii="Times New Roman" w:hAnsi="Times New Roman" w:eastAsia="仿宋_GB2312" w:cs="Times New Roman"/>
          <w:b w:val="0"/>
          <w:bCs w:val="0"/>
          <w:kern w:val="2"/>
          <w:sz w:val="32"/>
          <w:szCs w:val="32"/>
          <w:lang w:val="en" w:eastAsia="zh-CN" w:bidi="ar-SA"/>
        </w:rPr>
        <w:t>获得企业一致好评</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指导株硬集团、瑞邦医疗、泰鑫瓷业等14个工业重点领域设备更新改造项目通过国家复核。</w:t>
      </w:r>
    </w:p>
    <w:p>
      <w:pPr>
        <w:keepNext w:val="0"/>
        <w:keepLines w:val="0"/>
        <w:pageBreakBefore w:val="0"/>
        <w:widowControl w:val="0"/>
        <w:tabs>
          <w:tab w:val="left" w:pos="7560"/>
        </w:tabs>
        <w:kinsoku/>
        <w:wordWrap/>
        <w:overflowPunct/>
        <w:topLinePunct w:val="0"/>
        <w:autoSpaceDE/>
        <w:autoSpaceDN/>
        <w:bidi w:val="0"/>
        <w:adjustRightInd w:val="0"/>
        <w:snapToGrid w:val="0"/>
        <w:spacing w:line="578"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default" w:ascii="Times New Roman" w:hAnsi="Times New Roman" w:eastAsia="方正大标宋简体" w:cs="Times New Roman"/>
          <w:color w:val="000000"/>
          <w:sz w:val="32"/>
          <w:szCs w:val="32"/>
        </w:rPr>
        <w:sectPr>
          <w:footerReference r:id="rId10" w:type="default"/>
          <w:pgSz w:w="11906" w:h="16838"/>
          <w:pgMar w:top="1984" w:right="1531" w:bottom="1701" w:left="1531" w:header="851" w:footer="1588" w:gutter="0"/>
          <w:cols w:space="720" w:num="1"/>
          <w:docGrid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2024年度项目支出绩效自评表</w:t>
      </w:r>
    </w:p>
    <w:tbl>
      <w:tblPr>
        <w:tblStyle w:val="22"/>
        <w:tblW w:w="9839" w:type="dxa"/>
        <w:jc w:val="center"/>
        <w:tblLayout w:type="autofit"/>
        <w:tblCellMar>
          <w:top w:w="0" w:type="dxa"/>
          <w:left w:w="108" w:type="dxa"/>
          <w:bottom w:w="0" w:type="dxa"/>
          <w:right w:w="108" w:type="dxa"/>
        </w:tblCellMar>
      </w:tblPr>
      <w:tblGrid>
        <w:gridCol w:w="1077"/>
        <w:gridCol w:w="1077"/>
        <w:gridCol w:w="1079"/>
        <w:gridCol w:w="1222"/>
        <w:gridCol w:w="1135"/>
        <w:gridCol w:w="1132"/>
        <w:gridCol w:w="826"/>
        <w:gridCol w:w="871"/>
        <w:gridCol w:w="1420"/>
      </w:tblGrid>
      <w:tr>
        <w:tblPrEx>
          <w:tblCellMar>
            <w:top w:w="0" w:type="dxa"/>
            <w:left w:w="108" w:type="dxa"/>
            <w:bottom w:w="0" w:type="dxa"/>
            <w:right w:w="108" w:type="dxa"/>
          </w:tblCellMar>
        </w:tblPrEx>
        <w:trPr>
          <w:trHeight w:val="582"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62" w:type="dxa"/>
            <w:gridSpan w:val="8"/>
            <w:tcBorders>
              <w:top w:val="single" w:color="auto" w:sz="4" w:space="0"/>
              <w:left w:val="nil"/>
              <w:bottom w:val="single" w:color="auto" w:sz="4" w:space="0"/>
              <w:right w:val="single" w:color="auto" w:sz="4" w:space="0"/>
            </w:tcBorders>
            <w:noWrap w:val="0"/>
            <w:vAlign w:val="center"/>
          </w:tcPr>
          <w:p>
            <w:pPr>
              <w:widowControl/>
              <w:tabs>
                <w:tab w:val="left" w:pos="3360"/>
                <w:tab w:val="center" w:pos="4433"/>
              </w:tabs>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2024年度企业办事不求人工作经费</w:t>
            </w:r>
          </w:p>
        </w:tc>
      </w:tr>
      <w:tr>
        <w:tblPrEx>
          <w:tblCellMar>
            <w:top w:w="0" w:type="dxa"/>
            <w:left w:w="108" w:type="dxa"/>
            <w:bottom w:w="0" w:type="dxa"/>
            <w:right w:w="108" w:type="dxa"/>
          </w:tblCellMar>
        </w:tblPrEx>
        <w:trPr>
          <w:trHeight w:val="398" w:hRule="atLeast"/>
          <w:jc w:val="center"/>
        </w:trPr>
        <w:tc>
          <w:tcPr>
            <w:tcW w:w="107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3"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株洲市工业和信息化局</w:t>
            </w:r>
          </w:p>
        </w:tc>
        <w:tc>
          <w:tcPr>
            <w:tcW w:w="1132"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7"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株洲市工业和信息化局</w:t>
            </w:r>
            <w:r>
              <w:rPr>
                <w:rFonts w:hint="eastAsia" w:ascii="Times New Roman" w:hAnsi="Times New Roman" w:eastAsia="仿宋_GB2312" w:cs="Times New Roman"/>
                <w:color w:val="000000"/>
                <w:sz w:val="20"/>
                <w:szCs w:val="20"/>
                <w:lang w:eastAsia="zh-CN"/>
              </w:rPr>
              <w:t>机关</w:t>
            </w:r>
          </w:p>
        </w:tc>
      </w:tr>
      <w:tr>
        <w:tblPrEx>
          <w:tblCellMar>
            <w:top w:w="0" w:type="dxa"/>
            <w:left w:w="108" w:type="dxa"/>
            <w:bottom w:w="0" w:type="dxa"/>
            <w:right w:w="108" w:type="dxa"/>
          </w:tblCellMar>
        </w:tblPrEx>
        <w:trPr>
          <w:trHeight w:val="554"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2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460"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65</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23.22</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23.22</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r>
      <w:tr>
        <w:tblPrEx>
          <w:tblCellMar>
            <w:top w:w="0" w:type="dxa"/>
            <w:left w:w="108" w:type="dxa"/>
            <w:bottom w:w="0" w:type="dxa"/>
            <w:right w:w="108" w:type="dxa"/>
          </w:tblCellMar>
        </w:tblPrEx>
        <w:trPr>
          <w:trHeight w:val="422"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65</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23.22</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23.22</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r>
              <w:rPr>
                <w:rFonts w:hint="default"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trHeight w:val="386"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1018"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both"/>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打造“企业办事不求人”升级版，以解决企业实际问题为核心，针对制约企业发展的堵点痛点难点问题，坚决做到“应收尽收、应办必办”，确保企业服务事项的办结率不低于95%，满意度提升至90%以上。</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2024年，“企业办事不求人”工作专班共办理企业问题3112件，办结3021件，办结率97.08%，满意率94.99%。</w:t>
            </w:r>
          </w:p>
        </w:tc>
      </w:tr>
      <w:tr>
        <w:tblPrEx>
          <w:tblCellMar>
            <w:top w:w="0" w:type="dxa"/>
            <w:left w:w="108" w:type="dxa"/>
            <w:bottom w:w="0" w:type="dxa"/>
            <w:right w:w="108" w:type="dxa"/>
          </w:tblCellMar>
        </w:tblPrEx>
        <w:trPr>
          <w:trHeight w:val="588" w:hRule="atLeast"/>
          <w:jc w:val="center"/>
        </w:trPr>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及改进措施</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40分</w:t>
            </w:r>
            <w:r>
              <w:rPr>
                <w:rFonts w:hint="default" w:ascii="Times New Roman" w:hAnsi="Times New Roman" w:eastAsia="仿宋_GB2312" w:cs="Times New Roman"/>
                <w:color w:val="000000"/>
                <w:sz w:val="20"/>
                <w:szCs w:val="20"/>
                <w:lang w:eastAsia="zh-CN"/>
              </w:rPr>
              <w:t>）</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开展惠企活动</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东文宋体" w:hAnsi="东文宋体" w:eastAsia="东文宋体" w:cs="东文宋体"/>
                <w:color w:val="000000"/>
                <w:sz w:val="20"/>
                <w:szCs w:val="20"/>
                <w:lang w:val="en-US" w:eastAsia="zh-CN"/>
              </w:rPr>
              <w:t>≥</w:t>
            </w:r>
            <w:r>
              <w:rPr>
                <w:rFonts w:hint="default" w:ascii="Times New Roman" w:hAnsi="Times New Roman" w:eastAsia="仿宋_GB2312" w:cs="Times New Roman"/>
                <w:color w:val="000000"/>
                <w:sz w:val="20"/>
                <w:szCs w:val="20"/>
                <w:lang w:val="en-US" w:eastAsia="zh-CN"/>
              </w:rPr>
              <w:t>13场/期</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auto"/>
                <w:sz w:val="20"/>
                <w:szCs w:val="20"/>
              </w:rPr>
              <w:t>1</w:t>
            </w:r>
            <w:r>
              <w:rPr>
                <w:rFonts w:hint="default" w:ascii="Times New Roman" w:hAnsi="Times New Roman" w:eastAsia="仿宋_GB2312" w:cs="Times New Roman"/>
                <w:color w:val="auto"/>
                <w:sz w:val="20"/>
                <w:szCs w:val="20"/>
                <w:lang w:val="en-US" w:eastAsia="zh-CN"/>
              </w:rPr>
              <w:t>4</w:t>
            </w:r>
            <w:r>
              <w:rPr>
                <w:rFonts w:hint="default" w:ascii="Times New Roman" w:hAnsi="Times New Roman" w:eastAsia="仿宋_GB2312" w:cs="Times New Roman"/>
                <w:color w:val="auto"/>
                <w:sz w:val="20"/>
                <w:szCs w:val="20"/>
              </w:rPr>
              <w:t>场/</w:t>
            </w:r>
            <w:r>
              <w:rPr>
                <w:rFonts w:hint="default" w:ascii="Times New Roman" w:hAnsi="Times New Roman" w:eastAsia="仿宋_GB2312" w:cs="Times New Roman"/>
                <w:color w:val="000000"/>
                <w:sz w:val="20"/>
                <w:szCs w:val="20"/>
              </w:rPr>
              <w:t>期</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验收合格率</w:t>
            </w:r>
          </w:p>
          <w:p>
            <w:pPr>
              <w:widowControl/>
              <w:spacing w:line="24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100%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100%</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eastAsia="zh-CN"/>
              </w:rPr>
              <w:t>按</w:t>
            </w:r>
            <w:r>
              <w:rPr>
                <w:rFonts w:hint="default" w:ascii="Times New Roman" w:hAnsi="Times New Roman" w:eastAsia="仿宋_GB2312" w:cs="Times New Roman"/>
                <w:color w:val="auto"/>
                <w:sz w:val="20"/>
                <w:szCs w:val="20"/>
                <w:lang w:eastAsia="zh-CN"/>
              </w:rPr>
              <w:t>合同约定期限</w:t>
            </w:r>
            <w:r>
              <w:rPr>
                <w:rFonts w:hint="default" w:ascii="Times New Roman" w:hAnsi="Times New Roman" w:eastAsia="仿宋_GB2312" w:cs="Times New Roman"/>
                <w:color w:val="auto"/>
                <w:sz w:val="20"/>
                <w:szCs w:val="20"/>
                <w:lang w:val="en-US" w:eastAsia="zh-CN"/>
              </w:rPr>
              <w:t>进行</w:t>
            </w:r>
            <w:r>
              <w:rPr>
                <w:rFonts w:hint="eastAsia" w:ascii="Times New Roman" w:hAnsi="Times New Roman" w:eastAsia="仿宋_GB2312" w:cs="Times New Roman"/>
                <w:color w:val="auto"/>
                <w:sz w:val="20"/>
                <w:szCs w:val="20"/>
                <w:lang w:val="en-US" w:eastAsia="zh-CN"/>
              </w:rPr>
              <w:t>统一</w:t>
            </w:r>
            <w:r>
              <w:rPr>
                <w:rFonts w:hint="default" w:ascii="Times New Roman" w:hAnsi="Times New Roman" w:eastAsia="仿宋_GB2312" w:cs="Times New Roman"/>
                <w:color w:val="auto"/>
                <w:sz w:val="20"/>
                <w:szCs w:val="20"/>
                <w:lang w:val="en-US" w:eastAsia="zh-CN"/>
              </w:rPr>
              <w:t>验收</w:t>
            </w:r>
            <w:r>
              <w:rPr>
                <w:rFonts w:hint="eastAsia" w:ascii="Times New Roman" w:hAnsi="Times New Roman" w:eastAsia="仿宋_GB2312" w:cs="Times New Roman"/>
                <w:color w:val="auto"/>
                <w:sz w:val="20"/>
                <w:szCs w:val="20"/>
                <w:lang w:val="en-US" w:eastAsia="zh-CN"/>
              </w:rPr>
              <w:t>，目前运行情况稳定</w:t>
            </w:r>
            <w:r>
              <w:rPr>
                <w:rFonts w:hint="default" w:ascii="Times New Roman" w:hAnsi="Times New Roman" w:eastAsia="仿宋_GB2312" w:cs="Times New Roman"/>
                <w:color w:val="auto"/>
                <w:sz w:val="20"/>
                <w:szCs w:val="20"/>
                <w:lang w:val="en-US" w:eastAsia="zh-CN"/>
              </w:rPr>
              <w:t>。</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资金到位时效</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是否及时</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eastAsia="zh-CN"/>
              </w:rPr>
              <w:t>及时</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rPr>
            </w:pPr>
            <w:r>
              <w:rPr>
                <w:rFonts w:hint="eastAsia" w:ascii="Times New Roman" w:hAnsi="Times New Roman" w:eastAsia="仿宋_GB2312" w:cs="Times New Roman"/>
                <w:color w:val="auto"/>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rPr>
            </w:pPr>
            <w:r>
              <w:rPr>
                <w:rFonts w:hint="eastAsia" w:ascii="Times New Roman" w:hAnsi="Times New Roman" w:eastAsia="仿宋_GB2312" w:cs="Times New Roman"/>
                <w:color w:val="auto"/>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提升企业获得感受惠面</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是否提升</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明显提升</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生态效</w:t>
            </w:r>
          </w:p>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惠企政策直达快享</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是否及时</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及时</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营造良好营商环境，助推株洲工业高质量发展</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是否提升</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明显提升</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41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问题办理满意度</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rPr>
            </w:pPr>
            <w:r>
              <w:rPr>
                <w:rFonts w:hint="eastAsia" w:ascii="东文宋体" w:hAnsi="东文宋体" w:eastAsia="东文宋体" w:cs="东文宋体"/>
                <w:color w:val="auto"/>
                <w:sz w:val="20"/>
                <w:szCs w:val="20"/>
              </w:rPr>
              <w:t>≥</w:t>
            </w:r>
            <w:r>
              <w:rPr>
                <w:rFonts w:hint="default" w:ascii="Times New Roman" w:hAnsi="Times New Roman" w:eastAsia="仿宋_GB2312" w:cs="Times New Roman"/>
                <w:color w:val="auto"/>
                <w:sz w:val="20"/>
                <w:szCs w:val="20"/>
                <w:lang w:val="en-US" w:eastAsia="zh-CN"/>
              </w:rPr>
              <w:t>90%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2"/>
                <w:sz w:val="20"/>
                <w:szCs w:val="20"/>
                <w:lang w:val="en-US" w:eastAsia="zh-CN" w:bidi="ar-SA"/>
              </w:rPr>
              <w:t>94.99%</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问题交办系统年运行维护费用</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eastAsia="zh-CN"/>
              </w:rPr>
            </w:pPr>
            <w:r>
              <w:rPr>
                <w:rFonts w:hint="eastAsia" w:ascii="东文宋体" w:hAnsi="东文宋体" w:eastAsia="东文宋体" w:cs="东文宋体"/>
                <w:color w:val="auto"/>
                <w:sz w:val="20"/>
                <w:szCs w:val="20"/>
                <w:lang w:val="en-US" w:eastAsia="zh-CN"/>
              </w:rPr>
              <w:t>≤</w:t>
            </w:r>
            <w:r>
              <w:rPr>
                <w:rFonts w:hint="default" w:ascii="Times New Roman" w:hAnsi="Times New Roman" w:eastAsia="仿宋_GB2312" w:cs="Times New Roman"/>
                <w:color w:val="auto"/>
                <w:sz w:val="20"/>
                <w:szCs w:val="20"/>
                <w:lang w:val="en-US" w:eastAsia="zh-CN"/>
              </w:rPr>
              <w:t>9.58万元</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4.79万元</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eastAsia="zh-CN"/>
              </w:rPr>
              <w:t>已按</w:t>
            </w:r>
            <w:r>
              <w:rPr>
                <w:rFonts w:hint="default" w:ascii="Times New Roman" w:hAnsi="Times New Roman" w:eastAsia="仿宋_GB2312" w:cs="Times New Roman"/>
                <w:color w:val="auto"/>
                <w:sz w:val="20"/>
                <w:szCs w:val="20"/>
                <w:lang w:eastAsia="zh-CN"/>
              </w:rPr>
              <w:t>合同约定</w:t>
            </w:r>
            <w:r>
              <w:rPr>
                <w:rFonts w:hint="eastAsia" w:ascii="Times New Roman" w:hAnsi="Times New Roman" w:eastAsia="仿宋_GB2312" w:cs="Times New Roman"/>
                <w:color w:val="auto"/>
                <w:sz w:val="20"/>
                <w:szCs w:val="20"/>
                <w:lang w:eastAsia="zh-CN"/>
              </w:rPr>
              <w:t>支付首付款项</w:t>
            </w:r>
            <w:r>
              <w:rPr>
                <w:rFonts w:hint="eastAsia" w:ascii="Times New Roman" w:hAnsi="Times New Roman" w:eastAsia="仿宋_GB2312" w:cs="Times New Roman"/>
                <w:color w:val="auto"/>
                <w:sz w:val="20"/>
                <w:szCs w:val="20"/>
                <w:lang w:val="en-US" w:eastAsia="zh-CN"/>
              </w:rPr>
              <w:t>4.79万元，余款待</w:t>
            </w:r>
            <w:r>
              <w:rPr>
                <w:rFonts w:hint="default" w:ascii="Times New Roman" w:hAnsi="Times New Roman" w:eastAsia="仿宋_GB2312" w:cs="Times New Roman"/>
                <w:color w:val="auto"/>
                <w:sz w:val="20"/>
                <w:szCs w:val="20"/>
                <w:lang w:val="en-US" w:eastAsia="zh-CN"/>
              </w:rPr>
              <w:t>2025年9月</w:t>
            </w:r>
            <w:r>
              <w:rPr>
                <w:rFonts w:hint="eastAsia" w:ascii="Times New Roman" w:hAnsi="Times New Roman" w:eastAsia="仿宋_GB2312" w:cs="Times New Roman"/>
                <w:color w:val="auto"/>
                <w:sz w:val="20"/>
                <w:szCs w:val="20"/>
                <w:lang w:val="en-US" w:eastAsia="zh-CN"/>
              </w:rPr>
              <w:t>合同期满后按要求支付</w:t>
            </w:r>
            <w:r>
              <w:rPr>
                <w:rFonts w:hint="default" w:ascii="Times New Roman" w:hAnsi="Times New Roman" w:eastAsia="仿宋_GB2312" w:cs="Times New Roman"/>
                <w:color w:val="auto"/>
                <w:sz w:val="20"/>
                <w:szCs w:val="20"/>
                <w:lang w:val="en-US" w:eastAsia="zh-CN"/>
              </w:rPr>
              <w:t>。</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07" w:hRule="atLeast"/>
          <w:jc w:val="center"/>
        </w:trPr>
        <w:tc>
          <w:tcPr>
            <w:tcW w:w="6722"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r>
    </w:tbl>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仿宋_GB2312" w:cs="Times New Roman"/>
          <w:sz w:val="28"/>
          <w:szCs w:val="28"/>
        </w:rPr>
        <w:br w:type="page"/>
      </w:r>
      <w:r>
        <w:rPr>
          <w:rFonts w:hint="default" w:ascii="Times New Roman" w:hAnsi="Times New Roman" w:eastAsia="方正小标宋简体" w:cs="Times New Roman"/>
          <w:color w:val="000000"/>
          <w:kern w:val="0"/>
          <w:sz w:val="41"/>
          <w:szCs w:val="41"/>
          <w:lang w:val="en-US" w:eastAsia="zh-CN" w:bidi="ar"/>
        </w:rPr>
        <w:t>2024年中小企业服务体系项目补助资金</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1"/>
          <w:szCs w:val="41"/>
          <w:lang w:val="en-US" w:eastAsia="zh-CN" w:bidi="ar"/>
        </w:rPr>
        <w:t>绩效自评报告</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楷体_GB2312" w:cs="Times New Roman"/>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一、预算收支出情况</w:t>
      </w:r>
      <w:r>
        <w:rPr>
          <w:rFonts w:hint="default" w:ascii="Times New Roman" w:hAnsi="Times New Roman" w:eastAsia="楷体" w:cs="Times New Roman"/>
          <w:b/>
          <w:bCs/>
          <w:color w:val="000000"/>
          <w:kern w:val="0"/>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0"/>
          <w:sz w:val="32"/>
          <w:szCs w:val="32"/>
          <w:highlight w:val="none"/>
          <w:lang w:bidi="ar"/>
        </w:rPr>
        <w:t>2024年预算</w:t>
      </w:r>
      <w:r>
        <w:rPr>
          <w:rFonts w:hint="eastAsia" w:ascii="Times New Roman" w:hAnsi="Times New Roman" w:eastAsia="仿宋_GB2312" w:cs="Times New Roman"/>
          <w:b w:val="0"/>
          <w:bCs w:val="0"/>
          <w:color w:val="000000"/>
          <w:kern w:val="0"/>
          <w:sz w:val="32"/>
          <w:szCs w:val="32"/>
          <w:highlight w:val="none"/>
          <w:lang w:val="en-US" w:eastAsia="zh-CN" w:bidi="ar"/>
        </w:rPr>
        <w:t>0.61</w:t>
      </w:r>
      <w:r>
        <w:rPr>
          <w:rFonts w:hint="default" w:ascii="Times New Roman" w:hAnsi="Times New Roman" w:eastAsia="仿宋_GB2312" w:cs="Times New Roman"/>
          <w:b w:val="0"/>
          <w:bCs w:val="0"/>
          <w:color w:val="000000"/>
          <w:kern w:val="0"/>
          <w:sz w:val="32"/>
          <w:szCs w:val="32"/>
          <w:highlight w:val="none"/>
          <w:lang w:bidi="ar"/>
        </w:rPr>
        <w:t>万元，其中年初预算</w:t>
      </w:r>
      <w:r>
        <w:rPr>
          <w:rFonts w:hint="eastAsia" w:ascii="Times New Roman" w:hAnsi="Times New Roman" w:eastAsia="仿宋_GB2312" w:cs="Times New Roman"/>
          <w:b w:val="0"/>
          <w:bCs w:val="0"/>
          <w:color w:val="000000"/>
          <w:kern w:val="0"/>
          <w:sz w:val="32"/>
          <w:szCs w:val="32"/>
          <w:highlight w:val="none"/>
          <w:lang w:val="en-US" w:eastAsia="zh-CN" w:bidi="ar"/>
        </w:rPr>
        <w:t>30</w:t>
      </w:r>
      <w:r>
        <w:rPr>
          <w:rFonts w:hint="default" w:ascii="Times New Roman" w:hAnsi="Times New Roman" w:eastAsia="仿宋_GB2312" w:cs="Times New Roman"/>
          <w:b w:val="0"/>
          <w:bCs w:val="0"/>
          <w:color w:val="000000"/>
          <w:kern w:val="0"/>
          <w:sz w:val="32"/>
          <w:szCs w:val="32"/>
          <w:highlight w:val="none"/>
          <w:lang w:bidi="ar"/>
        </w:rPr>
        <w:t>万元，实际支出</w:t>
      </w:r>
      <w:r>
        <w:rPr>
          <w:rFonts w:hint="eastAsia" w:ascii="Times New Roman" w:hAnsi="Times New Roman" w:eastAsia="仿宋_GB2312" w:cs="Times New Roman"/>
          <w:b w:val="0"/>
          <w:bCs w:val="0"/>
          <w:color w:val="000000"/>
          <w:kern w:val="0"/>
          <w:sz w:val="32"/>
          <w:szCs w:val="32"/>
          <w:highlight w:val="none"/>
          <w:lang w:val="en-US" w:eastAsia="zh-CN" w:bidi="ar"/>
        </w:rPr>
        <w:t>0.61</w:t>
      </w:r>
      <w:r>
        <w:rPr>
          <w:rFonts w:hint="default" w:ascii="Times New Roman" w:hAnsi="Times New Roman" w:eastAsia="仿宋_GB2312" w:cs="Times New Roman"/>
          <w:b w:val="0"/>
          <w:bCs w:val="0"/>
          <w:color w:val="000000"/>
          <w:kern w:val="0"/>
          <w:sz w:val="32"/>
          <w:szCs w:val="32"/>
          <w:highlight w:val="none"/>
          <w:lang w:bidi="ar"/>
        </w:rPr>
        <w:t xml:space="preserve">万元。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二、项目支出绩效情况</w:t>
      </w:r>
      <w:r>
        <w:rPr>
          <w:rFonts w:hint="default" w:ascii="Times New Roman" w:hAnsi="Times New Roman" w:eastAsia="楷体" w:cs="Times New Roman"/>
          <w:b/>
          <w:bCs/>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kern w:val="0"/>
          <w:sz w:val="32"/>
          <w:szCs w:val="32"/>
          <w:rtl w:val="0"/>
          <w:lang w:val="en-US" w:eastAsia="zh-CN" w:bidi="ar"/>
        </w:rPr>
      </w:pPr>
      <w:r>
        <w:rPr>
          <w:rFonts w:hint="default" w:ascii="Times New Roman" w:hAnsi="Times New Roman" w:eastAsia="仿宋_GB2312" w:cs="Times New Roman"/>
          <w:color w:val="000000"/>
          <w:kern w:val="0"/>
          <w:sz w:val="32"/>
          <w:szCs w:val="32"/>
          <w:lang w:val="en-US" w:eastAsia="zh-CN" w:bidi="ar"/>
        </w:rPr>
        <w:t>2024年12月获省中小企业服务化系项目资金收入30万元，用于2024-2025年中小企业服务能力提升活动经费，2024年实际支出0.61万元，主要用于支出开展企业服务能力提升活动场地、用餐、资料等费用。项目实施及绩效情况如下：</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rtl w:val="0"/>
          <w:lang w:val="en-US" w:eastAsia="zh-CN" w:bidi="ar"/>
        </w:rPr>
        <w:t>2024年12月13日上午，株洲市工业和信息化局在株洲创新孵化基地11楼会议室举办“周末企业大讲堂”之《服务能力提升，惠企金融宣讲》活动，</w:t>
      </w:r>
      <w:r>
        <w:rPr>
          <w:rFonts w:hint="default" w:ascii="Times New Roman" w:hAnsi="Times New Roman" w:eastAsia="仿宋_GB2312" w:cs="Times New Roman"/>
          <w:color w:val="000000"/>
          <w:kern w:val="0"/>
          <w:sz w:val="32"/>
          <w:szCs w:val="32"/>
          <w:lang w:val="en-US" w:eastAsia="zh-CN" w:bidi="ar"/>
        </w:rPr>
        <w:t>特邀了株洲金融监管分局、株洲市金财融资担保集团有限公司及银行代表进行政策分享，活动</w:t>
      </w:r>
      <w:r>
        <w:rPr>
          <w:rFonts w:hint="default" w:ascii="Times New Roman" w:hAnsi="Times New Roman" w:eastAsia="仿宋_GB2312" w:cs="Times New Roman"/>
          <w:color w:val="000000"/>
          <w:kern w:val="0"/>
          <w:sz w:val="32"/>
          <w:szCs w:val="32"/>
          <w:rtl w:val="0"/>
          <w:lang w:val="en-US" w:eastAsia="zh-CN" w:bidi="ar"/>
        </w:rPr>
        <w:t>吸引了企业服人员、企业高管、金融机构负责人等70余人现场参加，近300人通过直播在线观看</w:t>
      </w:r>
      <w:r>
        <w:rPr>
          <w:rFonts w:hint="default" w:ascii="Times New Roman" w:hAnsi="Times New Roman" w:eastAsia="仿宋_GB2312" w:cs="Times New Roman"/>
          <w:color w:val="000000"/>
          <w:kern w:val="0"/>
          <w:sz w:val="32"/>
          <w:szCs w:val="32"/>
          <w:lang w:val="en-US" w:eastAsia="zh-CN" w:bidi="ar"/>
        </w:rPr>
        <w:t xml:space="preserve">。活动过程中，参会人员积极互动，某企业高管理表示，此次活动不仅加深了自己对国家及地方融资政策的理解，还学到了许多实用的融资技巧，对提升企业融资能力缓解企业资金紧张问题起到重要作用。    </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大标宋简体" w:cs="Times New Roman"/>
          <w:color w:val="000000"/>
          <w:sz w:val="36"/>
          <w:szCs w:val="36"/>
        </w:rPr>
        <w:sectPr>
          <w:footerReference r:id="rId11" w:type="default"/>
          <w:pgSz w:w="11906" w:h="16838"/>
          <w:pgMar w:top="1984" w:right="1531" w:bottom="1701" w:left="1531" w:header="851" w:footer="1588" w:gutter="0"/>
          <w:cols w:space="720" w:num="1"/>
          <w:docGrid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2024年度项目支出绩效自评表</w:t>
      </w:r>
    </w:p>
    <w:tbl>
      <w:tblPr>
        <w:tblStyle w:val="22"/>
        <w:tblW w:w="9839" w:type="dxa"/>
        <w:jc w:val="center"/>
        <w:tblLayout w:type="autofit"/>
        <w:tblCellMar>
          <w:top w:w="0" w:type="dxa"/>
          <w:left w:w="108" w:type="dxa"/>
          <w:bottom w:w="0" w:type="dxa"/>
          <w:right w:w="108" w:type="dxa"/>
        </w:tblCellMar>
      </w:tblPr>
      <w:tblGrid>
        <w:gridCol w:w="1077"/>
        <w:gridCol w:w="1077"/>
        <w:gridCol w:w="1079"/>
        <w:gridCol w:w="1222"/>
        <w:gridCol w:w="1135"/>
        <w:gridCol w:w="1132"/>
        <w:gridCol w:w="826"/>
        <w:gridCol w:w="871"/>
        <w:gridCol w:w="1420"/>
      </w:tblGrid>
      <w:tr>
        <w:tblPrEx>
          <w:tblCellMar>
            <w:top w:w="0" w:type="dxa"/>
            <w:left w:w="108" w:type="dxa"/>
            <w:bottom w:w="0" w:type="dxa"/>
            <w:right w:w="108" w:type="dxa"/>
          </w:tblCellMar>
        </w:tblPrEx>
        <w:trPr>
          <w:trHeight w:val="582"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62"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2024年中小企业服务体系项目　</w:t>
            </w:r>
          </w:p>
        </w:tc>
      </w:tr>
      <w:tr>
        <w:tblPrEx>
          <w:tblCellMar>
            <w:top w:w="0" w:type="dxa"/>
            <w:left w:w="108" w:type="dxa"/>
            <w:bottom w:w="0" w:type="dxa"/>
            <w:right w:w="108" w:type="dxa"/>
          </w:tblCellMar>
        </w:tblPrEx>
        <w:trPr>
          <w:trHeight w:val="398" w:hRule="atLeast"/>
          <w:jc w:val="center"/>
        </w:trPr>
        <w:tc>
          <w:tcPr>
            <w:tcW w:w="107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3"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株洲市工业和信息化局</w:t>
            </w:r>
          </w:p>
        </w:tc>
        <w:tc>
          <w:tcPr>
            <w:tcW w:w="1132"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7"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株洲市工业和信息化局</w:t>
            </w:r>
            <w:r>
              <w:rPr>
                <w:rFonts w:hint="eastAsia" w:ascii="Times New Roman" w:hAnsi="Times New Roman" w:eastAsia="仿宋_GB2312" w:cs="Times New Roman"/>
                <w:color w:val="000000"/>
                <w:sz w:val="20"/>
                <w:szCs w:val="20"/>
                <w:lang w:eastAsia="zh-CN"/>
              </w:rPr>
              <w:t>机关</w:t>
            </w:r>
          </w:p>
        </w:tc>
      </w:tr>
      <w:tr>
        <w:tblPrEx>
          <w:tblCellMar>
            <w:top w:w="0" w:type="dxa"/>
            <w:left w:w="108" w:type="dxa"/>
            <w:bottom w:w="0" w:type="dxa"/>
            <w:right w:w="108" w:type="dxa"/>
          </w:tblCellMar>
        </w:tblPrEx>
        <w:trPr>
          <w:trHeight w:val="554"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2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460"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30</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0.61</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0.61</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22"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r>
      <w:tr>
        <w:tblPrEx>
          <w:tblCellMar>
            <w:top w:w="0" w:type="dxa"/>
            <w:left w:w="108" w:type="dxa"/>
            <w:bottom w:w="0" w:type="dxa"/>
            <w:right w:w="108" w:type="dxa"/>
          </w:tblCellMar>
        </w:tblPrEx>
        <w:trPr>
          <w:trHeight w:val="324" w:hRule="atLeast"/>
          <w:jc w:val="center"/>
        </w:trPr>
        <w:tc>
          <w:tcPr>
            <w:tcW w:w="1077" w:type="dxa"/>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30</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0.61</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0.61</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trHeight w:val="386"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1018"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通过开展中小企业服务能力提升培训活动，提升企业服务工作人员的政策解读、资源整合及问题解决等综合能力。　　</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eastAsia="zh-CN"/>
              </w:rPr>
              <w:t>资金到位后，组织开展了</w:t>
            </w:r>
            <w:r>
              <w:rPr>
                <w:rFonts w:hint="default" w:ascii="Times New Roman" w:hAnsi="Times New Roman" w:eastAsia="仿宋_GB2312" w:cs="Times New Roman"/>
                <w:color w:val="000000"/>
                <w:sz w:val="20"/>
                <w:szCs w:val="20"/>
                <w:lang w:val="en-US" w:eastAsia="zh-CN"/>
              </w:rPr>
              <w:t>1场“周末企业大讲堂”活动。</w:t>
            </w:r>
          </w:p>
        </w:tc>
      </w:tr>
      <w:tr>
        <w:tblPrEx>
          <w:tblCellMar>
            <w:top w:w="0" w:type="dxa"/>
            <w:left w:w="108" w:type="dxa"/>
            <w:bottom w:w="0" w:type="dxa"/>
            <w:right w:w="108" w:type="dxa"/>
          </w:tblCellMar>
        </w:tblPrEx>
        <w:trPr>
          <w:trHeight w:val="588" w:hRule="atLeast"/>
          <w:jc w:val="center"/>
        </w:trPr>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及改进措施</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40分</w:t>
            </w:r>
            <w:r>
              <w:rPr>
                <w:rFonts w:hint="default" w:ascii="Times New Roman" w:hAnsi="Times New Roman" w:eastAsia="仿宋_GB2312" w:cs="Times New Roman"/>
                <w:color w:val="000000"/>
                <w:sz w:val="20"/>
                <w:szCs w:val="20"/>
                <w:lang w:eastAsia="zh-CN"/>
              </w:rPr>
              <w:t>）</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开展企业服务工作人员培训</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lang w:val="en-US" w:eastAsia="zh-CN"/>
              </w:rPr>
              <w:t>3场次</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1场</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eastAsia="zh-CN"/>
              </w:rPr>
              <w:t>活动周期到</w:t>
            </w:r>
            <w:r>
              <w:rPr>
                <w:rFonts w:hint="default" w:ascii="Times New Roman" w:hAnsi="Times New Roman" w:eastAsia="仿宋_GB2312" w:cs="Times New Roman"/>
                <w:color w:val="000000"/>
                <w:sz w:val="20"/>
                <w:szCs w:val="20"/>
                <w:lang w:val="en-US" w:eastAsia="zh-CN"/>
              </w:rPr>
              <w:t>2025年底</w:t>
            </w:r>
            <w:r>
              <w:rPr>
                <w:rFonts w:hint="eastAsia" w:ascii="Times New Roman" w:hAnsi="Times New Roman" w:eastAsia="仿宋_GB2312" w:cs="Times New Roman"/>
                <w:color w:val="000000"/>
                <w:sz w:val="20"/>
                <w:szCs w:val="20"/>
                <w:lang w:val="en-US" w:eastAsia="zh-CN"/>
              </w:rPr>
              <w:t>，活动开展按计划进行</w:t>
            </w:r>
            <w:r>
              <w:rPr>
                <w:rFonts w:hint="default" w:ascii="Times New Roman" w:hAnsi="Times New Roman" w:eastAsia="仿宋_GB2312" w:cs="Times New Roman"/>
                <w:color w:val="000000"/>
                <w:sz w:val="20"/>
                <w:szCs w:val="20"/>
                <w:lang w:val="en-US" w:eastAsia="zh-CN"/>
              </w:rPr>
              <w:t>。</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质量评估</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83"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资金到位时效</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是否及时</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及时</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提升</w:t>
            </w:r>
            <w:r>
              <w:rPr>
                <w:rFonts w:hint="default" w:ascii="Times New Roman" w:hAnsi="Times New Roman" w:eastAsia="仿宋_GB2312" w:cs="Times New Roman"/>
                <w:color w:val="000000"/>
                <w:sz w:val="20"/>
                <w:szCs w:val="20"/>
              </w:rPr>
              <w:t>企业服务人员工作能力</w:t>
            </w:r>
            <w:r>
              <w:rPr>
                <w:rFonts w:hint="eastAsia" w:ascii="Times New Roman" w:hAnsi="Times New Roman" w:eastAsia="仿宋_GB2312" w:cs="Times New Roman"/>
                <w:color w:val="000000"/>
                <w:sz w:val="20"/>
                <w:szCs w:val="20"/>
                <w:lang w:eastAsia="zh-CN"/>
              </w:rPr>
              <w:t>，提高工作效率。</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是否提升</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明显提升</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lang w:val="en-US" w:eastAsia="zh-CN"/>
              </w:rPr>
              <w:t>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lang w:val="en-US" w:eastAsia="zh-CN"/>
              </w:rPr>
              <w:t>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auto"/>
                <w:sz w:val="20"/>
                <w:szCs w:val="20"/>
              </w:rPr>
              <w:t>提升企业获得感</w:t>
            </w:r>
            <w:r>
              <w:rPr>
                <w:rFonts w:hint="eastAsia" w:ascii="Times New Roman" w:hAnsi="Times New Roman" w:eastAsia="仿宋_GB2312" w:cs="Times New Roman"/>
                <w:color w:val="auto"/>
                <w:sz w:val="20"/>
                <w:szCs w:val="20"/>
                <w:lang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auto"/>
                <w:sz w:val="20"/>
                <w:szCs w:val="20"/>
              </w:rPr>
              <w:t>是否提升</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auto"/>
                <w:sz w:val="20"/>
                <w:szCs w:val="20"/>
              </w:rPr>
              <w:t>明显提升</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auto"/>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auto"/>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生态效</w:t>
            </w:r>
          </w:p>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掌握了解惠企政策，确保政策及时直达快享</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是否及时</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及时</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1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县市区企业服务人员办理企业问题满意度</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lang w:val="en-US" w:eastAsia="zh-CN"/>
              </w:rPr>
              <w:t>90%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kern w:val="2"/>
                <w:sz w:val="20"/>
                <w:szCs w:val="20"/>
                <w:lang w:val="en-US" w:eastAsia="zh-CN" w:bidi="ar-SA"/>
              </w:rPr>
              <w:t>94.99%</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省中小企业服务能力提升专项经费使用</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lang w:val="en-US" w:eastAsia="zh-CN"/>
              </w:rPr>
              <w:t>30万元</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0.61万元</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eastAsia="zh-CN"/>
              </w:rPr>
              <w:t>活动周期到</w:t>
            </w:r>
            <w:r>
              <w:rPr>
                <w:rFonts w:hint="default" w:ascii="Times New Roman" w:hAnsi="Times New Roman" w:eastAsia="仿宋_GB2312" w:cs="Times New Roman"/>
                <w:color w:val="000000"/>
                <w:sz w:val="20"/>
                <w:szCs w:val="20"/>
                <w:lang w:val="en-US" w:eastAsia="zh-CN"/>
              </w:rPr>
              <w:t>2025年底。</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07" w:hRule="atLeast"/>
          <w:jc w:val="center"/>
        </w:trPr>
        <w:tc>
          <w:tcPr>
            <w:tcW w:w="6722"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r>
    </w:tbl>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仿宋_GB2312" w:cs="Times New Roman"/>
          <w:sz w:val="28"/>
          <w:szCs w:val="28"/>
        </w:rPr>
        <w:br w:type="page"/>
      </w:r>
      <w:r>
        <w:rPr>
          <w:rFonts w:hint="default" w:ascii="Times New Roman" w:hAnsi="Times New Roman" w:eastAsia="方正小标宋简体" w:cs="Times New Roman"/>
          <w:color w:val="000000"/>
          <w:kern w:val="0"/>
          <w:sz w:val="41"/>
          <w:szCs w:val="41"/>
          <w:lang w:val="en-US" w:eastAsia="zh-CN" w:bidi="ar"/>
        </w:rPr>
        <w:t>2024年度开展供需对接活动经费</w:t>
      </w: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1"/>
          <w:szCs w:val="41"/>
          <w:lang w:val="en-US" w:eastAsia="zh-CN" w:bidi="ar"/>
        </w:rPr>
        <w:t>绩效自评报告</w:t>
      </w: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楷体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一、预算收支出情况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2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color w:val="000000"/>
          <w:kern w:val="0"/>
          <w:sz w:val="31"/>
          <w:szCs w:val="31"/>
          <w:lang w:val="en-US" w:eastAsia="zh-CN" w:bidi="ar"/>
        </w:rPr>
        <w:t>2024年预算收入</w:t>
      </w:r>
      <w:r>
        <w:rPr>
          <w:rFonts w:hint="eastAsia" w:ascii="Times New Roman" w:hAnsi="Times New Roman" w:eastAsia="仿宋_GB2312" w:cs="Times New Roman"/>
          <w:color w:val="000000"/>
          <w:kern w:val="0"/>
          <w:sz w:val="31"/>
          <w:szCs w:val="31"/>
          <w:lang w:val="en-US" w:eastAsia="zh-CN" w:bidi="ar"/>
        </w:rPr>
        <w:t>1.93</w:t>
      </w:r>
      <w:r>
        <w:rPr>
          <w:rFonts w:hint="default" w:ascii="Times New Roman" w:hAnsi="Times New Roman" w:eastAsia="仿宋_GB2312" w:cs="Times New Roman"/>
          <w:color w:val="000000"/>
          <w:kern w:val="0"/>
          <w:sz w:val="31"/>
          <w:szCs w:val="31"/>
          <w:lang w:val="en-US" w:eastAsia="zh-CN" w:bidi="ar"/>
        </w:rPr>
        <w:t>万元，</w:t>
      </w:r>
      <w:r>
        <w:rPr>
          <w:rFonts w:hint="default" w:ascii="Times New Roman" w:hAnsi="Times New Roman" w:eastAsia="仿宋_GB2312" w:cs="Times New Roman"/>
          <w:b w:val="0"/>
          <w:bCs w:val="0"/>
          <w:color w:val="000000"/>
          <w:kern w:val="0"/>
          <w:sz w:val="32"/>
          <w:szCs w:val="32"/>
          <w:highlight w:val="none"/>
          <w:lang w:bidi="ar"/>
        </w:rPr>
        <w:t>其中年初预算</w:t>
      </w:r>
      <w:r>
        <w:rPr>
          <w:rFonts w:hint="eastAsia" w:ascii="Times New Roman" w:hAnsi="Times New Roman" w:eastAsia="仿宋_GB2312" w:cs="Times New Roman"/>
          <w:b w:val="0"/>
          <w:bCs w:val="0"/>
          <w:color w:val="000000"/>
          <w:kern w:val="0"/>
          <w:sz w:val="32"/>
          <w:szCs w:val="32"/>
          <w:highlight w:val="none"/>
          <w:lang w:val="en-US" w:eastAsia="zh-CN" w:bidi="ar"/>
        </w:rPr>
        <w:t>10</w:t>
      </w:r>
      <w:r>
        <w:rPr>
          <w:rFonts w:hint="default" w:ascii="Times New Roman" w:hAnsi="Times New Roman" w:eastAsia="仿宋_GB2312" w:cs="Times New Roman"/>
          <w:b w:val="0"/>
          <w:bCs w:val="0"/>
          <w:color w:val="000000"/>
          <w:kern w:val="0"/>
          <w:sz w:val="32"/>
          <w:szCs w:val="32"/>
          <w:highlight w:val="none"/>
          <w:lang w:bidi="ar"/>
        </w:rPr>
        <w:t>万元，实际支出</w:t>
      </w:r>
      <w:r>
        <w:rPr>
          <w:rFonts w:hint="default" w:ascii="Times New Roman" w:hAnsi="Times New Roman" w:eastAsia="仿宋_GB2312" w:cs="Times New Roman"/>
          <w:b w:val="0"/>
          <w:bCs w:val="0"/>
          <w:color w:val="000000"/>
          <w:kern w:val="0"/>
          <w:sz w:val="32"/>
          <w:szCs w:val="32"/>
          <w:highlight w:val="none"/>
          <w:lang w:val="en-US" w:eastAsia="zh-CN" w:bidi="ar"/>
        </w:rPr>
        <w:t>1.93</w:t>
      </w:r>
      <w:r>
        <w:rPr>
          <w:rFonts w:hint="default" w:ascii="Times New Roman" w:hAnsi="Times New Roman" w:eastAsia="仿宋_GB2312" w:cs="Times New Roman"/>
          <w:b w:val="0"/>
          <w:bCs w:val="0"/>
          <w:color w:val="000000"/>
          <w:kern w:val="0"/>
          <w:sz w:val="32"/>
          <w:szCs w:val="32"/>
          <w:highlight w:val="none"/>
          <w:lang w:bidi="ar"/>
        </w:rPr>
        <w:t xml:space="preserve">万元。 </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二、项目支出绩效情况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eastAsia="仿宋_GB2312" w:cs="Times New Roman"/>
          <w:b w:val="0"/>
          <w:bCs w:val="0"/>
          <w:color w:val="000000"/>
          <w:kern w:val="0"/>
          <w:sz w:val="31"/>
          <w:szCs w:val="31"/>
          <w:rtl w:val="0"/>
          <w:lang w:val="en-US" w:eastAsia="zh-CN" w:bidi="ar"/>
        </w:rPr>
      </w:pPr>
      <w:r>
        <w:rPr>
          <w:rFonts w:hint="default" w:ascii="Times New Roman" w:hAnsi="Times New Roman" w:eastAsia="仿宋_GB2312" w:cs="Times New Roman"/>
          <w:color w:val="000000"/>
          <w:kern w:val="0"/>
          <w:sz w:val="31"/>
          <w:szCs w:val="31"/>
          <w:lang w:val="en-US" w:eastAsia="zh-CN" w:bidi="ar"/>
        </w:rPr>
        <w:t>2024年开展供需对接活动专项支出1.93万元，主要用于支出供需对接等活动场地、用餐等费用。项目实施及绩效情况如下：</w:t>
      </w:r>
      <w:r>
        <w:rPr>
          <w:rFonts w:hint="default" w:ascii="Times New Roman" w:hAnsi="Times New Roman" w:eastAsia="仿宋_GB2312" w:cs="Times New Roman"/>
          <w:sz w:val="32"/>
          <w:szCs w:val="32"/>
        </w:rPr>
        <w:t>坚持“建平台、拓市场、促合作”的活动方针，聚焦市场主体供需关系发展</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lang w:val="en-US" w:eastAsia="zh-CN" w:bidi="ar-SA"/>
        </w:rPr>
        <w:t>按产业链策划、按产品类别对接组织“校企、企企”间“一对一”供需对接活动，扩大企业“朋友圈”，高效链接上下游。全年共组织开展供需对接活动11场，</w:t>
      </w:r>
      <w:r>
        <w:rPr>
          <w:rFonts w:hint="default" w:ascii="Times New Roman" w:hAnsi="Times New Roman" w:eastAsia="仿宋_GB2312" w:cs="Times New Roman"/>
          <w:b w:val="0"/>
          <w:bCs w:val="0"/>
          <w:kern w:val="2"/>
          <w:sz w:val="32"/>
          <w:szCs w:val="32"/>
          <w:lang w:val="en-US" w:eastAsia="zh-CN" w:bidi="ar-SA"/>
        </w:rPr>
        <w:t>分别是重点企业能效提升对接会、“智赋万企”对接会、湖南省专精特新中小企业“一月一链”投融资路演、“长株潭”军工企业配套需求精准对接、制造名城进名企（湘钢、武汉和西安三场）、制造名城进名校（武汉大学）、工业软件创新发展大会、校企合作“双进双转”对接会、“智能制造进园区”等。</w:t>
      </w:r>
    </w:p>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2"/>
          <w:szCs w:val="32"/>
        </w:rPr>
      </w:pPr>
      <w:r>
        <w:rPr>
          <w:rFonts w:hint="default" w:ascii="Times New Roman" w:hAnsi="Times New Roman" w:eastAsia="仿宋" w:cs="Times New Roman"/>
          <w:b w:val="0"/>
          <w:bCs w:val="0"/>
          <w:color w:val="000000"/>
          <w:kern w:val="0"/>
          <w:sz w:val="31"/>
          <w:szCs w:val="31"/>
          <w:lang w:val="en-US" w:eastAsia="zh-CN" w:bidi="ar"/>
        </w:rPr>
        <w:t xml:space="preserve">   </w:t>
      </w:r>
      <w:r>
        <w:rPr>
          <w:rFonts w:hint="default" w:ascii="Times New Roman" w:hAnsi="Times New Roman" w:eastAsia="楷体_GB2312" w:cs="Times New Roman"/>
          <w:b w:val="0"/>
          <w:bCs w:val="0"/>
          <w:color w:val="000000"/>
          <w:kern w:val="0"/>
          <w:sz w:val="32"/>
          <w:szCs w:val="32"/>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方正大标宋简体" w:cs="Times New Roman"/>
          <w:color w:val="000000"/>
          <w:sz w:val="36"/>
          <w:szCs w:val="36"/>
        </w:rPr>
        <w:sectPr>
          <w:footerReference r:id="rId12" w:type="default"/>
          <w:pgSz w:w="11906" w:h="16838"/>
          <w:pgMar w:top="1984" w:right="1531" w:bottom="1701" w:left="1531" w:header="851" w:footer="1588" w:gutter="0"/>
          <w:cols w:space="720" w:num="1"/>
          <w:docGrid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2024年度项目支出绩效自评表</w:t>
      </w:r>
    </w:p>
    <w:tbl>
      <w:tblPr>
        <w:tblStyle w:val="22"/>
        <w:tblW w:w="9819" w:type="dxa"/>
        <w:jc w:val="center"/>
        <w:tblLayout w:type="autofit"/>
        <w:tblCellMar>
          <w:top w:w="0" w:type="dxa"/>
          <w:left w:w="108" w:type="dxa"/>
          <w:bottom w:w="0" w:type="dxa"/>
          <w:right w:w="108" w:type="dxa"/>
        </w:tblCellMar>
      </w:tblPr>
      <w:tblGrid>
        <w:gridCol w:w="450"/>
        <w:gridCol w:w="624"/>
        <w:gridCol w:w="484"/>
        <w:gridCol w:w="1047"/>
        <w:gridCol w:w="620"/>
        <w:gridCol w:w="1219"/>
        <w:gridCol w:w="289"/>
        <w:gridCol w:w="845"/>
        <w:gridCol w:w="1129"/>
        <w:gridCol w:w="824"/>
        <w:gridCol w:w="869"/>
        <w:gridCol w:w="1419"/>
      </w:tblGrid>
      <w:tr>
        <w:tblPrEx>
          <w:tblCellMar>
            <w:top w:w="0" w:type="dxa"/>
            <w:left w:w="108" w:type="dxa"/>
            <w:bottom w:w="0" w:type="dxa"/>
            <w:right w:w="108" w:type="dxa"/>
          </w:tblCellMar>
        </w:tblPrEx>
        <w:trPr>
          <w:trHeight w:val="468" w:hRule="atLeast"/>
          <w:jc w:val="center"/>
        </w:trPr>
        <w:tc>
          <w:tcPr>
            <w:tcW w:w="107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45" w:type="dxa"/>
            <w:gridSpan w:val="10"/>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2024年度开展供需对接活动经费</w:t>
            </w:r>
          </w:p>
        </w:tc>
      </w:tr>
      <w:tr>
        <w:tblPrEx>
          <w:tblCellMar>
            <w:top w:w="0" w:type="dxa"/>
            <w:left w:w="108" w:type="dxa"/>
            <w:bottom w:w="0" w:type="dxa"/>
            <w:right w:w="108" w:type="dxa"/>
          </w:tblCellMar>
        </w:tblPrEx>
        <w:trPr>
          <w:trHeight w:val="313" w:hRule="atLeast"/>
          <w:jc w:val="center"/>
        </w:trPr>
        <w:tc>
          <w:tcPr>
            <w:tcW w:w="1074" w:type="dxa"/>
            <w:gridSpan w:val="2"/>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04" w:type="dxa"/>
            <w:gridSpan w:val="6"/>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株洲市工业和信息化局</w:t>
            </w:r>
          </w:p>
        </w:tc>
        <w:tc>
          <w:tcPr>
            <w:tcW w:w="1129"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2"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株洲市工业和信息化局</w:t>
            </w:r>
            <w:r>
              <w:rPr>
                <w:rFonts w:hint="eastAsia" w:ascii="Times New Roman" w:hAnsi="Times New Roman" w:eastAsia="仿宋_GB2312" w:cs="Times New Roman"/>
                <w:color w:val="000000"/>
                <w:sz w:val="20"/>
                <w:szCs w:val="20"/>
                <w:lang w:eastAsia="zh-CN"/>
              </w:rPr>
              <w:t>机关</w:t>
            </w:r>
          </w:p>
        </w:tc>
      </w:tr>
      <w:tr>
        <w:tblPrEx>
          <w:tblCellMar>
            <w:top w:w="0" w:type="dxa"/>
            <w:left w:w="108" w:type="dxa"/>
            <w:bottom w:w="0" w:type="dxa"/>
            <w:right w:w="108" w:type="dxa"/>
          </w:tblCellMar>
        </w:tblPrEx>
        <w:trPr>
          <w:trHeight w:val="426" w:hRule="atLeast"/>
          <w:jc w:val="center"/>
        </w:trPr>
        <w:tc>
          <w:tcPr>
            <w:tcW w:w="1074"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51" w:type="dxa"/>
            <w:gridSpan w:val="3"/>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1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29"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69"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9"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272" w:hRule="atLeast"/>
          <w:jc w:val="center"/>
        </w:trPr>
        <w:tc>
          <w:tcPr>
            <w:tcW w:w="1074"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1" w:type="dxa"/>
            <w:gridSpan w:val="3"/>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1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134"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w:t>
            </w:r>
            <w:r>
              <w:rPr>
                <w:rFonts w:hint="eastAsia" w:ascii="Times New Roman" w:hAnsi="Times New Roman" w:eastAsia="仿宋_GB2312" w:cs="Times New Roman"/>
                <w:color w:val="000000"/>
                <w:sz w:val="20"/>
                <w:szCs w:val="20"/>
                <w:lang w:val="en-US" w:eastAsia="zh-CN"/>
              </w:rPr>
              <w:t>.93</w:t>
            </w:r>
          </w:p>
        </w:tc>
        <w:tc>
          <w:tcPr>
            <w:tcW w:w="112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1.93</w:t>
            </w:r>
          </w:p>
        </w:tc>
        <w:tc>
          <w:tcPr>
            <w:tcW w:w="82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6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141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r>
      <w:tr>
        <w:tblPrEx>
          <w:tblCellMar>
            <w:top w:w="0" w:type="dxa"/>
            <w:left w:w="108" w:type="dxa"/>
            <w:bottom w:w="0" w:type="dxa"/>
            <w:right w:w="108" w:type="dxa"/>
          </w:tblCellMar>
        </w:tblPrEx>
        <w:trPr>
          <w:trHeight w:val="258" w:hRule="atLeast"/>
          <w:jc w:val="center"/>
        </w:trPr>
        <w:tc>
          <w:tcPr>
            <w:tcW w:w="1074"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1" w:type="dxa"/>
            <w:gridSpan w:val="3"/>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1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4"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2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6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1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49" w:hRule="atLeast"/>
          <w:jc w:val="center"/>
        </w:trPr>
        <w:tc>
          <w:tcPr>
            <w:tcW w:w="1074"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1" w:type="dxa"/>
            <w:gridSpan w:val="3"/>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1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4"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2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6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1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41" w:hRule="atLeast"/>
          <w:jc w:val="center"/>
        </w:trPr>
        <w:tc>
          <w:tcPr>
            <w:tcW w:w="1074" w:type="dxa"/>
            <w:gridSpan w:val="2"/>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1" w:type="dxa"/>
            <w:gridSpan w:val="3"/>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1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134"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w:t>
            </w:r>
            <w:r>
              <w:rPr>
                <w:rFonts w:hint="eastAsia" w:ascii="Times New Roman" w:hAnsi="Times New Roman" w:eastAsia="仿宋_GB2312" w:cs="Times New Roman"/>
                <w:color w:val="000000"/>
                <w:sz w:val="20"/>
                <w:szCs w:val="20"/>
                <w:lang w:val="en-US" w:eastAsia="zh-CN"/>
              </w:rPr>
              <w:t>.93</w:t>
            </w:r>
          </w:p>
        </w:tc>
        <w:tc>
          <w:tcPr>
            <w:tcW w:w="112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1.93</w:t>
            </w:r>
          </w:p>
        </w:tc>
        <w:tc>
          <w:tcPr>
            <w:tcW w:w="82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6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1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trHeight w:val="266" w:hRule="atLeast"/>
          <w:jc w:val="center"/>
        </w:trPr>
        <w:tc>
          <w:tcPr>
            <w:tcW w:w="1074"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04"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1"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729" w:hRule="atLeast"/>
          <w:jc w:val="center"/>
        </w:trPr>
        <w:tc>
          <w:tcPr>
            <w:tcW w:w="1074"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4504"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开展一批省市供需对接活动，帮助企业纾困降本、提振信心。积极推动工业高质量发展，加快培育制造名城，奋力打造国家重要先进制造业高地。　　</w:t>
            </w:r>
          </w:p>
        </w:tc>
        <w:tc>
          <w:tcPr>
            <w:tcW w:w="4241"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全年共组织开展重点企业能效提升对接会、“智赋万企”对接会</w:t>
            </w:r>
            <w:r>
              <w:rPr>
                <w:rFonts w:hint="default" w:ascii="Times New Roman" w:hAnsi="Times New Roman" w:eastAsia="仿宋_GB2312" w:cs="Times New Roman"/>
                <w:color w:val="000000"/>
                <w:sz w:val="20"/>
                <w:szCs w:val="20"/>
                <w:lang w:eastAsia="zh-CN"/>
              </w:rPr>
              <w:t>等</w:t>
            </w:r>
            <w:r>
              <w:rPr>
                <w:rFonts w:hint="default" w:ascii="Times New Roman" w:hAnsi="Times New Roman" w:eastAsia="仿宋_GB2312" w:cs="Times New Roman"/>
                <w:color w:val="000000"/>
                <w:sz w:val="20"/>
                <w:szCs w:val="20"/>
              </w:rPr>
              <w:t>供需对接活动11场</w:t>
            </w:r>
            <w:r>
              <w:rPr>
                <w:rFonts w:hint="default" w:ascii="Times New Roman" w:hAnsi="Times New Roman" w:eastAsia="仿宋_GB2312" w:cs="Times New Roman"/>
                <w:color w:val="000000"/>
                <w:sz w:val="20"/>
                <w:szCs w:val="20"/>
                <w:lang w:eastAsia="zh-CN"/>
              </w:rPr>
              <w:t>，完成年度目标。</w:t>
            </w:r>
          </w:p>
        </w:tc>
      </w:tr>
      <w:tr>
        <w:tblPrEx>
          <w:tblCellMar>
            <w:top w:w="0" w:type="dxa"/>
            <w:left w:w="108" w:type="dxa"/>
            <w:bottom w:w="0" w:type="dxa"/>
            <w:right w:w="108" w:type="dxa"/>
          </w:tblCellMar>
        </w:tblPrEx>
        <w:trPr>
          <w:trHeight w:val="611" w:hRule="atLeast"/>
          <w:jc w:val="center"/>
        </w:trPr>
        <w:tc>
          <w:tcPr>
            <w:tcW w:w="4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10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2128"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8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2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及改进措施</w:t>
            </w:r>
          </w:p>
        </w:tc>
      </w:tr>
      <w:tr>
        <w:tblPrEx>
          <w:tblCellMar>
            <w:top w:w="0" w:type="dxa"/>
            <w:left w:w="108" w:type="dxa"/>
            <w:bottom w:w="0" w:type="dxa"/>
            <w:right w:w="108" w:type="dxa"/>
          </w:tblCellMar>
        </w:tblPrEx>
        <w:trPr>
          <w:trHeight w:val="501"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10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40分</w:t>
            </w:r>
            <w:r>
              <w:rPr>
                <w:rFonts w:hint="default" w:ascii="Times New Roman" w:hAnsi="Times New Roman" w:eastAsia="仿宋_GB2312" w:cs="Times New Roman"/>
                <w:color w:val="000000"/>
                <w:sz w:val="20"/>
                <w:szCs w:val="20"/>
                <w:lang w:eastAsia="zh-CN"/>
              </w:rPr>
              <w:t>）</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2128" w:type="dxa"/>
            <w:gridSpan w:val="3"/>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组织进名校名企开展供需对接活动</w:t>
            </w:r>
          </w:p>
        </w:tc>
        <w:tc>
          <w:tcPr>
            <w:tcW w:w="8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东文宋体" w:hAnsi="东文宋体" w:eastAsia="东文宋体" w:cs="东文宋体"/>
                <w:color w:val="000000"/>
                <w:sz w:val="20"/>
                <w:szCs w:val="20"/>
              </w:rPr>
              <w:t>≥</w:t>
            </w:r>
            <w:r>
              <w:rPr>
                <w:rFonts w:hint="default" w:ascii="Times New Roman" w:hAnsi="Times New Roman" w:eastAsia="仿宋_GB2312" w:cs="Times New Roman"/>
                <w:color w:val="000000"/>
                <w:sz w:val="20"/>
                <w:szCs w:val="20"/>
                <w:lang w:val="en-US" w:eastAsia="zh-CN"/>
              </w:rPr>
              <w:t>10</w:t>
            </w:r>
            <w:r>
              <w:rPr>
                <w:rFonts w:hint="eastAsia" w:ascii="Times New Roman" w:hAnsi="Times New Roman" w:eastAsia="仿宋_GB2312" w:cs="Times New Roman"/>
                <w:color w:val="000000"/>
                <w:sz w:val="20"/>
                <w:szCs w:val="20"/>
                <w:lang w:val="en-US" w:eastAsia="zh-CN"/>
              </w:rPr>
              <w:t>场</w:t>
            </w:r>
          </w:p>
        </w:tc>
        <w:tc>
          <w:tcPr>
            <w:tcW w:w="112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11</w:t>
            </w:r>
            <w:r>
              <w:rPr>
                <w:rFonts w:hint="eastAsia" w:ascii="Times New Roman" w:hAnsi="Times New Roman" w:eastAsia="仿宋_GB2312" w:cs="Times New Roman"/>
                <w:color w:val="000000"/>
                <w:sz w:val="20"/>
                <w:szCs w:val="20"/>
                <w:lang w:val="en-US" w:eastAsia="zh-CN"/>
              </w:rPr>
              <w:t>场</w:t>
            </w:r>
          </w:p>
        </w:tc>
        <w:tc>
          <w:tcPr>
            <w:tcW w:w="8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20</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141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282"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1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2128" w:type="dxa"/>
            <w:gridSpan w:val="3"/>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验收合格率</w:t>
            </w:r>
          </w:p>
        </w:tc>
        <w:tc>
          <w:tcPr>
            <w:tcW w:w="8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12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8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1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01"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1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2128" w:type="dxa"/>
            <w:gridSpan w:val="3"/>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资金到位时效</w:t>
            </w:r>
          </w:p>
        </w:tc>
        <w:tc>
          <w:tcPr>
            <w:tcW w:w="8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是否及时</w:t>
            </w:r>
          </w:p>
        </w:tc>
        <w:tc>
          <w:tcPr>
            <w:tcW w:w="112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及时</w:t>
            </w:r>
          </w:p>
        </w:tc>
        <w:tc>
          <w:tcPr>
            <w:tcW w:w="8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1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01"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10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（20分）</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2128"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41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746"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1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2128" w:type="dxa"/>
            <w:gridSpan w:val="3"/>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帮助企业搭建对接产品、技术合作平台，提升企业获得感</w:t>
            </w:r>
          </w:p>
        </w:tc>
        <w:tc>
          <w:tcPr>
            <w:tcW w:w="8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是否提升</w:t>
            </w:r>
          </w:p>
        </w:tc>
        <w:tc>
          <w:tcPr>
            <w:tcW w:w="112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仿宋_GB2312" w:cs="Times New Roman"/>
                <w:kern w:val="2"/>
                <w:sz w:val="20"/>
                <w:szCs w:val="20"/>
                <w:lang w:val="en-US" w:eastAsia="zh-CN" w:bidi="ar-SA"/>
              </w:rPr>
              <w:t>明显提升</w:t>
            </w:r>
          </w:p>
        </w:tc>
        <w:tc>
          <w:tcPr>
            <w:tcW w:w="8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1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746"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1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生态效</w:t>
            </w:r>
          </w:p>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益指标</w:t>
            </w:r>
          </w:p>
        </w:tc>
        <w:tc>
          <w:tcPr>
            <w:tcW w:w="2128"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2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41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01"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1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47"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可持续影响指标</w:t>
            </w:r>
          </w:p>
        </w:tc>
        <w:tc>
          <w:tcPr>
            <w:tcW w:w="2128"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0"/>
                <w:sz w:val="20"/>
                <w:szCs w:val="20"/>
                <w:lang w:val="en-US" w:eastAsia="zh-CN"/>
              </w:rPr>
              <w:t>提升企业的发展信心</w:t>
            </w:r>
          </w:p>
        </w:tc>
        <w:tc>
          <w:tcPr>
            <w:tcW w:w="8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0"/>
                <w:sz w:val="20"/>
                <w:szCs w:val="20"/>
                <w:lang w:val="en-US" w:eastAsia="zh-CN"/>
              </w:rPr>
              <w:t>是否提升</w:t>
            </w:r>
          </w:p>
        </w:tc>
        <w:tc>
          <w:tcPr>
            <w:tcW w:w="112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0"/>
                <w:sz w:val="20"/>
                <w:szCs w:val="20"/>
                <w:lang w:val="en-US" w:eastAsia="zh-CN"/>
              </w:rPr>
              <w:t>明显提升</w:t>
            </w:r>
          </w:p>
        </w:tc>
        <w:tc>
          <w:tcPr>
            <w:tcW w:w="8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0"/>
                <w:sz w:val="20"/>
                <w:szCs w:val="20"/>
                <w:lang w:val="en-US" w:eastAsia="zh-CN"/>
              </w:rPr>
              <w:t>5</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0"/>
                <w:sz w:val="20"/>
                <w:szCs w:val="20"/>
                <w:lang w:val="en-US" w:eastAsia="zh-CN"/>
              </w:rPr>
              <w:t>5</w:t>
            </w:r>
          </w:p>
        </w:tc>
        <w:tc>
          <w:tcPr>
            <w:tcW w:w="141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746"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1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47"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2128" w:type="dxa"/>
            <w:gridSpan w:val="3"/>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帮助企业纾困</w:t>
            </w:r>
            <w:r>
              <w:rPr>
                <w:rFonts w:hint="eastAsia" w:ascii="Times New Roman" w:hAnsi="Times New Roman" w:eastAsia="仿宋_GB2312" w:cs="Times New Roman"/>
                <w:color w:val="000000"/>
                <w:sz w:val="20"/>
                <w:szCs w:val="20"/>
                <w:lang w:eastAsia="zh-CN"/>
              </w:rPr>
              <w:t>增效</w:t>
            </w:r>
            <w:r>
              <w:rPr>
                <w:rFonts w:hint="default" w:ascii="Times New Roman" w:hAnsi="Times New Roman" w:eastAsia="仿宋_GB2312" w:cs="Times New Roman"/>
                <w:color w:val="000000"/>
                <w:sz w:val="20"/>
                <w:szCs w:val="20"/>
              </w:rPr>
              <w:t>，推动</w:t>
            </w:r>
            <w:r>
              <w:rPr>
                <w:rFonts w:hint="eastAsia" w:ascii="Times New Roman" w:hAnsi="Times New Roman" w:eastAsia="仿宋_GB2312" w:cs="Times New Roman"/>
                <w:color w:val="000000"/>
                <w:sz w:val="20"/>
                <w:szCs w:val="20"/>
                <w:lang w:eastAsia="zh-CN"/>
              </w:rPr>
              <w:t>企业</w:t>
            </w:r>
            <w:r>
              <w:rPr>
                <w:rFonts w:hint="default" w:ascii="Times New Roman" w:hAnsi="Times New Roman" w:eastAsia="仿宋_GB2312" w:cs="Times New Roman"/>
                <w:color w:val="000000"/>
                <w:sz w:val="20"/>
                <w:szCs w:val="20"/>
              </w:rPr>
              <w:t>高质量发展</w:t>
            </w:r>
          </w:p>
        </w:tc>
        <w:tc>
          <w:tcPr>
            <w:tcW w:w="8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是否提升</w:t>
            </w:r>
          </w:p>
        </w:tc>
        <w:tc>
          <w:tcPr>
            <w:tcW w:w="112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kern w:val="2"/>
                <w:sz w:val="20"/>
                <w:szCs w:val="20"/>
                <w:lang w:val="en-US" w:eastAsia="zh-CN" w:bidi="ar-SA"/>
              </w:rPr>
              <w:t>明显提升</w:t>
            </w:r>
          </w:p>
        </w:tc>
        <w:tc>
          <w:tcPr>
            <w:tcW w:w="8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1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992"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10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2128" w:type="dxa"/>
            <w:gridSpan w:val="3"/>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参与企业满意度</w:t>
            </w:r>
          </w:p>
        </w:tc>
        <w:tc>
          <w:tcPr>
            <w:tcW w:w="8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东文宋体" w:hAnsi="东文宋体" w:eastAsia="东文宋体" w:cs="东文宋体"/>
                <w:color w:val="000000"/>
                <w:sz w:val="20"/>
                <w:szCs w:val="20"/>
              </w:rPr>
              <w:t>≥</w:t>
            </w:r>
            <w:r>
              <w:rPr>
                <w:rFonts w:hint="default" w:ascii="Times New Roman" w:hAnsi="Times New Roman" w:eastAsia="仿宋_GB2312" w:cs="Times New Roman"/>
                <w:color w:val="000000"/>
                <w:sz w:val="20"/>
                <w:szCs w:val="20"/>
                <w:lang w:val="en-US" w:eastAsia="zh-CN"/>
              </w:rPr>
              <w:t>90%</w:t>
            </w:r>
          </w:p>
        </w:tc>
        <w:tc>
          <w:tcPr>
            <w:tcW w:w="112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活动参与企业均反馈满意</w:t>
            </w:r>
          </w:p>
        </w:tc>
        <w:tc>
          <w:tcPr>
            <w:tcW w:w="8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1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01"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10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成本指标（20分）</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2128" w:type="dxa"/>
            <w:gridSpan w:val="3"/>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开展省市供需对接活动</w:t>
            </w:r>
          </w:p>
        </w:tc>
        <w:tc>
          <w:tcPr>
            <w:tcW w:w="8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东文宋体" w:hAnsi="东文宋体" w:eastAsia="东文宋体" w:cs="东文宋体"/>
                <w:color w:val="000000"/>
                <w:sz w:val="20"/>
                <w:szCs w:val="20"/>
              </w:rPr>
              <w:t>≤</w:t>
            </w:r>
            <w:r>
              <w:rPr>
                <w:rFonts w:hint="default" w:ascii="Times New Roman" w:hAnsi="Times New Roman" w:eastAsia="仿宋_GB2312" w:cs="Times New Roman"/>
                <w:color w:val="000000"/>
                <w:sz w:val="20"/>
                <w:szCs w:val="20"/>
                <w:lang w:val="en-US" w:eastAsia="zh-CN"/>
              </w:rPr>
              <w:t>10万元</w:t>
            </w:r>
          </w:p>
        </w:tc>
        <w:tc>
          <w:tcPr>
            <w:tcW w:w="112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1.93万元</w:t>
            </w:r>
          </w:p>
        </w:tc>
        <w:tc>
          <w:tcPr>
            <w:tcW w:w="8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141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01"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1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212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01"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11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2128"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2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41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34" w:hRule="atLeast"/>
          <w:jc w:val="center"/>
        </w:trPr>
        <w:tc>
          <w:tcPr>
            <w:tcW w:w="6707" w:type="dxa"/>
            <w:gridSpan w:val="9"/>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6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1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r>
    </w:tbl>
    <w:p>
      <w:pPr>
        <w:tabs>
          <w:tab w:val="left" w:pos="7560"/>
        </w:tabs>
        <w:adjustRightInd w:val="0"/>
        <w:snapToGrid w:val="0"/>
        <w:spacing w:line="560" w:lineRule="exact"/>
        <w:jc w:val="left"/>
        <w:rPr>
          <w:rFonts w:hint="default" w:ascii="Times New Roman" w:hAnsi="Times New Roman" w:eastAsia="仿宋_GB2312" w:cs="Times New Roman"/>
          <w:sz w:val="28"/>
          <w:szCs w:val="28"/>
        </w:rPr>
      </w:pP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全省“智赋万企”推进会资金</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1"/>
          <w:szCs w:val="41"/>
          <w:lang w:val="en-US" w:eastAsia="zh-CN" w:bidi="ar"/>
        </w:rPr>
        <w:t>绩效自评报告</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楷体_GB2312" w:cs="Times New Roman"/>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一、预算收支出情况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0"/>
          <w:sz w:val="32"/>
          <w:szCs w:val="32"/>
          <w:highlight w:val="none"/>
          <w:lang w:bidi="ar"/>
        </w:rPr>
        <w:t>2024年预算</w:t>
      </w:r>
      <w:r>
        <w:rPr>
          <w:rFonts w:hint="eastAsia" w:ascii="Times New Roman" w:hAnsi="Times New Roman" w:eastAsia="仿宋" w:cs="Times New Roman"/>
          <w:color w:val="000000"/>
          <w:kern w:val="0"/>
          <w:sz w:val="31"/>
          <w:szCs w:val="31"/>
          <w:lang w:val="en-US" w:eastAsia="zh-CN" w:bidi="ar"/>
        </w:rPr>
        <w:t>14.7</w:t>
      </w:r>
      <w:r>
        <w:rPr>
          <w:rFonts w:hint="default" w:ascii="Times New Roman" w:hAnsi="Times New Roman" w:eastAsia="仿宋_GB2312" w:cs="Times New Roman"/>
          <w:b w:val="0"/>
          <w:bCs w:val="0"/>
          <w:color w:val="000000"/>
          <w:kern w:val="0"/>
          <w:sz w:val="32"/>
          <w:szCs w:val="32"/>
          <w:highlight w:val="none"/>
          <w:lang w:bidi="ar"/>
        </w:rPr>
        <w:t>万元，其中年初预算</w:t>
      </w:r>
      <w:r>
        <w:rPr>
          <w:rFonts w:hint="eastAsia" w:ascii="Times New Roman" w:hAnsi="Times New Roman" w:eastAsia="仿宋_GB2312" w:cs="Times New Roman"/>
          <w:b w:val="0"/>
          <w:bCs w:val="0"/>
          <w:color w:val="000000"/>
          <w:kern w:val="0"/>
          <w:sz w:val="32"/>
          <w:szCs w:val="32"/>
          <w:highlight w:val="none"/>
          <w:lang w:val="en-US" w:eastAsia="zh-CN" w:bidi="ar"/>
        </w:rPr>
        <w:t>14.7</w:t>
      </w:r>
      <w:r>
        <w:rPr>
          <w:rFonts w:hint="default" w:ascii="Times New Roman" w:hAnsi="Times New Roman" w:eastAsia="仿宋_GB2312" w:cs="Times New Roman"/>
          <w:b w:val="0"/>
          <w:bCs w:val="0"/>
          <w:color w:val="000000"/>
          <w:kern w:val="0"/>
          <w:sz w:val="32"/>
          <w:szCs w:val="32"/>
          <w:highlight w:val="none"/>
          <w:lang w:bidi="ar"/>
        </w:rPr>
        <w:t>万元，实际支出</w:t>
      </w:r>
      <w:r>
        <w:rPr>
          <w:rFonts w:hint="eastAsia" w:ascii="Times New Roman" w:hAnsi="Times New Roman" w:eastAsia="仿宋" w:cs="Times New Roman"/>
          <w:color w:val="000000"/>
          <w:kern w:val="0"/>
          <w:sz w:val="31"/>
          <w:szCs w:val="31"/>
          <w:lang w:val="en-US" w:eastAsia="zh-CN" w:bidi="ar"/>
        </w:rPr>
        <w:t>14.7</w:t>
      </w:r>
      <w:r>
        <w:rPr>
          <w:rFonts w:hint="default" w:ascii="Times New Roman" w:hAnsi="Times New Roman" w:eastAsia="仿宋_GB2312" w:cs="Times New Roman"/>
          <w:b w:val="0"/>
          <w:bCs w:val="0"/>
          <w:color w:val="000000"/>
          <w:kern w:val="0"/>
          <w:sz w:val="32"/>
          <w:szCs w:val="32"/>
          <w:highlight w:val="none"/>
          <w:lang w:bidi="ar"/>
        </w:rPr>
        <w:t xml:space="preserve">万元。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二、项目支出绩效情况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eastAsia="仿宋" w:cs="Times New Roman"/>
          <w:color w:val="000000"/>
          <w:kern w:val="0"/>
          <w:sz w:val="31"/>
          <w:szCs w:val="31"/>
          <w:lang w:val="en-US" w:eastAsia="zh-CN" w:bidi="ar"/>
        </w:rPr>
      </w:pPr>
      <w:r>
        <w:rPr>
          <w:rFonts w:hint="eastAsia" w:ascii="Times New Roman" w:hAnsi="Times New Roman" w:eastAsia="仿宋" w:cs="Times New Roman"/>
          <w:color w:val="000000"/>
          <w:kern w:val="0"/>
          <w:sz w:val="31"/>
          <w:szCs w:val="31"/>
          <w:lang w:val="en-US" w:eastAsia="zh-CN" w:bidi="ar"/>
        </w:rPr>
        <w:t>根据省人民政府安排，定于2024年1月12日在株洲市召开全省“智赋万企”行动工作现场推进会暨全省工业和信息化工作会议，在省人民政府、省工信厅和株洲市委市政府的坚强领导下，株洲市工信局圆满完成会议承办任务</w:t>
      </w:r>
      <w:r>
        <w:rPr>
          <w:rFonts w:hint="default" w:ascii="Times New Roman" w:hAnsi="Times New Roman" w:eastAsia="仿宋" w:cs="Times New Roman"/>
          <w:color w:val="000000"/>
          <w:kern w:val="0"/>
          <w:sz w:val="31"/>
          <w:szCs w:val="31"/>
          <w:lang w:val="en-US" w:eastAsia="zh-CN" w:bidi="ar"/>
        </w:rPr>
        <w:t>。</w:t>
      </w:r>
      <w:r>
        <w:rPr>
          <w:rFonts w:hint="eastAsia" w:ascii="Times New Roman" w:hAnsi="Times New Roman" w:eastAsia="仿宋" w:cs="Times New Roman"/>
          <w:color w:val="000000"/>
          <w:kern w:val="0"/>
          <w:sz w:val="31"/>
          <w:szCs w:val="31"/>
          <w:lang w:val="en-US" w:eastAsia="zh-CN" w:bidi="ar"/>
        </w:rPr>
        <w:t>项目实施及绩效情况如下：</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eastAsia="仿宋" w:cs="Times New Roman"/>
          <w:color w:val="000000"/>
          <w:kern w:val="0"/>
          <w:sz w:val="31"/>
          <w:szCs w:val="31"/>
          <w:lang w:val="en-US" w:eastAsia="zh-CN" w:bidi="ar"/>
        </w:rPr>
      </w:pPr>
      <w:r>
        <w:rPr>
          <w:rFonts w:hint="eastAsia" w:ascii="楷体_GB2312" w:hAnsi="楷体_GB2312" w:eastAsia="楷体_GB2312" w:cs="楷体_GB2312"/>
          <w:color w:val="000000"/>
          <w:kern w:val="0"/>
          <w:sz w:val="31"/>
          <w:szCs w:val="31"/>
          <w:lang w:val="en-US" w:eastAsia="zh-CN" w:bidi="ar"/>
        </w:rPr>
        <w:t>（一）为总结部署全省“智赋万企”行动工作及全省工信工作提供平台。</w:t>
      </w:r>
      <w:r>
        <w:rPr>
          <w:rFonts w:hint="eastAsia" w:ascii="Times New Roman" w:hAnsi="Times New Roman" w:eastAsia="仿宋" w:cs="Times New Roman"/>
          <w:color w:val="000000"/>
          <w:kern w:val="0"/>
          <w:sz w:val="31"/>
          <w:szCs w:val="31"/>
          <w:lang w:val="en-US" w:eastAsia="zh-CN" w:bidi="ar"/>
        </w:rPr>
        <w:t>秦国文副省长出席会议，指出“智赋万企”行动是我省贯彻落实党中央关于推进数实融合发展决策部署的生动实践、具体行动，要切实提高站位，增强工作开展的动力、内力、合力，强调要坚持以习近平经济思想为指引，牢牢把握新型工业化的时代要求，加快推动制造业高端化、智能化、绿色化、融合化发展。省工信厅通报了全省“智赋万企”行动推进情况，</w:t>
      </w:r>
      <w:r>
        <w:rPr>
          <w:rFonts w:hint="default" w:ascii="Times New Roman" w:hAnsi="Times New Roman" w:eastAsia="仿宋" w:cs="Times New Roman"/>
          <w:color w:val="000000"/>
          <w:kern w:val="0"/>
          <w:sz w:val="31"/>
          <w:szCs w:val="31"/>
          <w:lang w:val="en-US" w:eastAsia="zh-CN" w:bidi="ar"/>
        </w:rPr>
        <w:t>梳理总结2023年全省工业和信息化工作</w:t>
      </w:r>
      <w:r>
        <w:rPr>
          <w:rFonts w:hint="eastAsia" w:ascii="Times New Roman" w:hAnsi="Times New Roman" w:eastAsia="仿宋" w:cs="Times New Roman"/>
          <w:color w:val="000000"/>
          <w:kern w:val="0"/>
          <w:sz w:val="31"/>
          <w:szCs w:val="31"/>
          <w:lang w:val="en-US" w:eastAsia="zh-CN" w:bidi="ar"/>
        </w:rPr>
        <w:t>，</w:t>
      </w:r>
      <w:r>
        <w:rPr>
          <w:rFonts w:hint="default" w:ascii="Times New Roman" w:hAnsi="Times New Roman" w:eastAsia="仿宋" w:cs="Times New Roman"/>
          <w:color w:val="000000"/>
          <w:kern w:val="0"/>
          <w:sz w:val="31"/>
          <w:szCs w:val="31"/>
          <w:lang w:val="en-US" w:eastAsia="zh-CN" w:bidi="ar"/>
        </w:rPr>
        <w:t>研究部署2024年工业和信息化重点任务</w:t>
      </w:r>
      <w:r>
        <w:rPr>
          <w:rFonts w:hint="eastAsia" w:ascii="Times New Roman" w:hAnsi="Times New Roman" w:eastAsia="仿宋" w:cs="Times New Roman"/>
          <w:color w:val="000000"/>
          <w:kern w:val="0"/>
          <w:sz w:val="31"/>
          <w:szCs w:val="31"/>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eastAsia="方正大标宋简体" w:cs="Times New Roman"/>
          <w:color w:val="000000"/>
          <w:sz w:val="36"/>
          <w:szCs w:val="36"/>
        </w:rPr>
        <w:sectPr>
          <w:footerReference r:id="rId13" w:type="default"/>
          <w:pgSz w:w="11906" w:h="16838"/>
          <w:pgMar w:top="1984" w:right="1531" w:bottom="1701" w:left="1531" w:header="851" w:footer="1588" w:gutter="0"/>
          <w:cols w:space="720" w:num="1"/>
          <w:docGrid w:linePitch="312" w:charSpace="0"/>
        </w:sectPr>
      </w:pPr>
      <w:r>
        <w:rPr>
          <w:rFonts w:hint="eastAsia" w:ascii="楷体_GB2312" w:hAnsi="楷体_GB2312" w:eastAsia="楷体_GB2312" w:cs="楷体_GB2312"/>
          <w:color w:val="000000"/>
          <w:kern w:val="0"/>
          <w:sz w:val="31"/>
          <w:szCs w:val="31"/>
          <w:lang w:val="en-US" w:eastAsia="zh-CN" w:bidi="ar"/>
        </w:rPr>
        <w:t>（二）充分展现株洲市“制造名城”形象。</w:t>
      </w:r>
      <w:r>
        <w:rPr>
          <w:rFonts w:hint="eastAsia" w:ascii="Times New Roman" w:hAnsi="Times New Roman" w:eastAsia="仿宋" w:cs="Times New Roman"/>
          <w:color w:val="000000"/>
          <w:kern w:val="0"/>
          <w:sz w:val="31"/>
          <w:szCs w:val="31"/>
          <w:lang w:val="en-US" w:eastAsia="zh-CN" w:bidi="ar"/>
        </w:rPr>
        <w:t>会上，株洲市“智赋万企”行动工作受到秦国文副省长“抓得住、看得见、学得到”的高度评价，并作为全省唯一市州代表作典型经验发言。会前，参会人员现场参观中国航发南方工业有限公司和株洲华锐精密工具股份有限公司等2家工业互联网建设示范企业，并观看《数智赋能，“株”企向未来》等专题宣传片，充分展现株洲市“制造名城”良好形象。</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202</w:t>
      </w:r>
      <w:r>
        <w:rPr>
          <w:rFonts w:hint="eastAsia" w:ascii="Times New Roman" w:hAnsi="Times New Roman" w:eastAsia="方正小标宋简体" w:cs="Times New Roman"/>
          <w:color w:val="000000"/>
          <w:kern w:val="0"/>
          <w:sz w:val="41"/>
          <w:szCs w:val="41"/>
          <w:lang w:val="en-US" w:eastAsia="zh-CN" w:bidi="ar"/>
        </w:rPr>
        <w:t>4</w:t>
      </w:r>
      <w:r>
        <w:rPr>
          <w:rFonts w:hint="default" w:ascii="Times New Roman" w:hAnsi="Times New Roman" w:eastAsia="方正小标宋简体" w:cs="Times New Roman"/>
          <w:color w:val="000000"/>
          <w:kern w:val="0"/>
          <w:sz w:val="41"/>
          <w:szCs w:val="41"/>
          <w:lang w:val="en-US" w:eastAsia="zh-CN" w:bidi="ar"/>
        </w:rPr>
        <w:t>年度项目支出绩效自评表</w:t>
      </w:r>
    </w:p>
    <w:tbl>
      <w:tblPr>
        <w:tblStyle w:val="22"/>
        <w:tblW w:w="9839" w:type="dxa"/>
        <w:jc w:val="center"/>
        <w:tblLayout w:type="autofit"/>
        <w:tblCellMar>
          <w:top w:w="0" w:type="dxa"/>
          <w:left w:w="108" w:type="dxa"/>
          <w:bottom w:w="0" w:type="dxa"/>
          <w:right w:w="108" w:type="dxa"/>
        </w:tblCellMar>
      </w:tblPr>
      <w:tblGrid>
        <w:gridCol w:w="1077"/>
        <w:gridCol w:w="1077"/>
        <w:gridCol w:w="1079"/>
        <w:gridCol w:w="1222"/>
        <w:gridCol w:w="1135"/>
        <w:gridCol w:w="1132"/>
        <w:gridCol w:w="826"/>
        <w:gridCol w:w="871"/>
        <w:gridCol w:w="1420"/>
      </w:tblGrid>
      <w:tr>
        <w:tblPrEx>
          <w:tblCellMar>
            <w:top w:w="0" w:type="dxa"/>
            <w:left w:w="108" w:type="dxa"/>
            <w:bottom w:w="0" w:type="dxa"/>
            <w:right w:w="108" w:type="dxa"/>
          </w:tblCellMar>
        </w:tblPrEx>
        <w:trPr>
          <w:trHeight w:val="582"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62"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全省“智赋万企”推进会资金</w:t>
            </w:r>
          </w:p>
        </w:tc>
      </w:tr>
      <w:tr>
        <w:tblPrEx>
          <w:tblCellMar>
            <w:top w:w="0" w:type="dxa"/>
            <w:left w:w="108" w:type="dxa"/>
            <w:bottom w:w="0" w:type="dxa"/>
            <w:right w:w="108" w:type="dxa"/>
          </w:tblCellMar>
        </w:tblPrEx>
        <w:trPr>
          <w:trHeight w:val="398" w:hRule="atLeast"/>
          <w:jc w:val="center"/>
        </w:trPr>
        <w:tc>
          <w:tcPr>
            <w:tcW w:w="107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3"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株洲市工业和信息化局</w:t>
            </w:r>
          </w:p>
        </w:tc>
        <w:tc>
          <w:tcPr>
            <w:tcW w:w="1132"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7"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株洲市工业和信息化局机关</w:t>
            </w:r>
          </w:p>
        </w:tc>
      </w:tr>
      <w:tr>
        <w:tblPrEx>
          <w:tblCellMar>
            <w:top w:w="0" w:type="dxa"/>
            <w:left w:w="108" w:type="dxa"/>
            <w:bottom w:w="0" w:type="dxa"/>
            <w:right w:w="108" w:type="dxa"/>
          </w:tblCellMar>
        </w:tblPrEx>
        <w:trPr>
          <w:trHeight w:val="554"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2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460"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14.7</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14.7</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14.7</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22"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2"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p>
        </w:tc>
        <w:tc>
          <w:tcPr>
            <w:tcW w:w="113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p>
        </w:tc>
        <w:tc>
          <w:tcPr>
            <w:tcW w:w="1132"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2"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p>
        </w:tc>
        <w:tc>
          <w:tcPr>
            <w:tcW w:w="113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p>
        </w:tc>
        <w:tc>
          <w:tcPr>
            <w:tcW w:w="1132"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14.7</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14.7</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14.7</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trHeight w:val="386"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1018"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根据湖南省人民政府安排，承办全省“智赋万企”行动工作现场推进会暨全省工业和信息化工作会议，为推动全省工信工作和“智赋万企”行动提供交流平台，并持续擦亮株洲市“制造名城”名片，树立株洲市重视工信工作和产业数字化转型升级的良好形象。</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1月12日,全省“智赋万企”行动工作现场推进会暨全省工业和信息化工作会议在</w:t>
            </w:r>
            <w:r>
              <w:rPr>
                <w:rFonts w:hint="eastAsia" w:ascii="Times New Roman" w:hAnsi="Times New Roman" w:eastAsia="仿宋_GB2312" w:cs="Times New Roman"/>
                <w:color w:val="000000"/>
                <w:sz w:val="20"/>
                <w:szCs w:val="20"/>
                <w:lang w:eastAsia="zh-CN"/>
              </w:rPr>
              <w:t>株洲</w:t>
            </w:r>
            <w:r>
              <w:rPr>
                <w:rFonts w:hint="default" w:ascii="Times New Roman" w:hAnsi="Times New Roman" w:eastAsia="仿宋_GB2312" w:cs="Times New Roman"/>
                <w:color w:val="000000"/>
                <w:sz w:val="20"/>
                <w:szCs w:val="20"/>
              </w:rPr>
              <w:t>市</w:t>
            </w:r>
            <w:r>
              <w:rPr>
                <w:rFonts w:hint="eastAsia" w:ascii="Times New Roman" w:hAnsi="Times New Roman" w:eastAsia="仿宋_GB2312" w:cs="Times New Roman"/>
                <w:color w:val="000000"/>
                <w:sz w:val="20"/>
                <w:szCs w:val="20"/>
                <w:lang w:eastAsia="zh-CN"/>
              </w:rPr>
              <w:t>圆满召</w:t>
            </w:r>
            <w:r>
              <w:rPr>
                <w:rFonts w:hint="default" w:ascii="Times New Roman" w:hAnsi="Times New Roman" w:eastAsia="仿宋_GB2312" w:cs="Times New Roman"/>
                <w:color w:val="000000"/>
                <w:sz w:val="20"/>
                <w:szCs w:val="20"/>
              </w:rPr>
              <w:t>开,副省长秦国文出席并讲话,市委副书记、市长陈恢清致辞,市委常委、副市长刘亚亮代表株洲作“智赋万企”行动经验交流。秦国文高度评价株洲市“智赋万企”行动工作“抓得住、看得见、学得到”。</w:t>
            </w:r>
          </w:p>
        </w:tc>
      </w:tr>
      <w:tr>
        <w:tblPrEx>
          <w:tblCellMar>
            <w:top w:w="0" w:type="dxa"/>
            <w:left w:w="108" w:type="dxa"/>
            <w:bottom w:w="0" w:type="dxa"/>
            <w:right w:w="108" w:type="dxa"/>
          </w:tblCellMar>
        </w:tblPrEx>
        <w:trPr>
          <w:trHeight w:val="588" w:hRule="atLeast"/>
          <w:jc w:val="center"/>
        </w:trPr>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及改进措施</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40分</w:t>
            </w:r>
            <w:r>
              <w:rPr>
                <w:rFonts w:hint="eastAsia" w:ascii="Times New Roman" w:hAnsi="Times New Roman" w:eastAsia="仿宋_GB2312" w:cs="Times New Roman"/>
                <w:color w:val="000000"/>
                <w:sz w:val="20"/>
                <w:szCs w:val="20"/>
                <w:lang w:eastAsia="zh-CN"/>
              </w:rPr>
              <w:t>）</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制作专题宣传片数量</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1条</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1条</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参会人数</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200人</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246人</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在1月底前举办会议</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有效保障</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1月12日举办会议</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宣传报道数量</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3条</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13条</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经验交流发言单位数量</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3个</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4个</w:t>
            </w:r>
          </w:p>
        </w:tc>
        <w:tc>
          <w:tcPr>
            <w:tcW w:w="826" w:type="dxa"/>
            <w:tcBorders>
              <w:top w:val="nil"/>
              <w:left w:val="nil"/>
              <w:bottom w:val="single" w:color="auto" w:sz="4" w:space="0"/>
              <w:right w:val="single" w:color="auto" w:sz="4" w:space="0"/>
            </w:tcBorders>
            <w:noWrap w:val="0"/>
            <w:vAlign w:val="center"/>
          </w:tcPr>
          <w:p>
            <w:pPr>
              <w:tabs>
                <w:tab w:val="left" w:pos="423"/>
              </w:tabs>
              <w:bidi w:val="0"/>
              <w:jc w:val="center"/>
              <w:rPr>
                <w:rFonts w:hint="default" w:eastAsia="宋体"/>
                <w:kern w:val="2"/>
                <w:sz w:val="21"/>
                <w:szCs w:val="24"/>
                <w:lang w:val="en-US" w:eastAsia="zh-CN" w:bidi="ar-SA"/>
              </w:rPr>
            </w:pPr>
            <w:r>
              <w:rPr>
                <w:rFonts w:hint="eastAsia"/>
                <w:kern w:val="2"/>
                <w:sz w:val="21"/>
                <w:szCs w:val="24"/>
                <w:lang w:val="en-US" w:eastAsia="zh-CN" w:bidi="ar-SA"/>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省政府领导对工作作出指示</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是</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是</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1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满意度</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90%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90%</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专项资金</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14.7万元</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14.7万元</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07" w:hRule="atLeast"/>
          <w:jc w:val="center"/>
        </w:trPr>
        <w:tc>
          <w:tcPr>
            <w:tcW w:w="6722"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bl>
    <w:p>
      <w:pPr>
        <w:keepNext w:val="0"/>
        <w:keepLines w:val="0"/>
        <w:pageBreakBefore w:val="0"/>
        <w:widowControl w:val="0"/>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仿宋_GB2312" w:cs="Times New Roman"/>
          <w:sz w:val="28"/>
          <w:szCs w:val="28"/>
        </w:rPr>
        <w:br w:type="page"/>
      </w:r>
      <w:r>
        <w:rPr>
          <w:rFonts w:hint="default" w:ascii="Times New Roman" w:hAnsi="Times New Roman" w:eastAsia="方正小标宋简体" w:cs="Times New Roman"/>
          <w:color w:val="000000"/>
          <w:kern w:val="0"/>
          <w:sz w:val="41"/>
          <w:szCs w:val="41"/>
          <w:lang w:val="en-US" w:eastAsia="zh-CN" w:bidi="ar"/>
        </w:rPr>
        <w:t>2024年重点项目经费经建科划转3.32万</w:t>
      </w:r>
    </w:p>
    <w:p>
      <w:pPr>
        <w:keepNext w:val="0"/>
        <w:keepLines w:val="0"/>
        <w:pageBreakBefore w:val="0"/>
        <w:widowControl w:val="0"/>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1"/>
          <w:szCs w:val="41"/>
          <w:lang w:val="en-US" w:eastAsia="zh-CN" w:bidi="ar"/>
        </w:rPr>
        <w:t>绩效自评报告</w:t>
      </w:r>
    </w:p>
    <w:p>
      <w:pPr>
        <w:keepNext w:val="0"/>
        <w:keepLines w:val="0"/>
        <w:pageBreakBefore w:val="0"/>
        <w:widowControl w:val="0"/>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楷体_GB2312" w:cs="Times New Roman"/>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一、预算收支出情况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0"/>
          <w:sz w:val="32"/>
          <w:szCs w:val="32"/>
          <w:highlight w:val="none"/>
          <w:lang w:bidi="ar"/>
        </w:rPr>
        <w:t>2024年预算</w:t>
      </w:r>
      <w:r>
        <w:rPr>
          <w:rFonts w:hint="default" w:ascii="Times New Roman" w:hAnsi="Times New Roman" w:eastAsia="仿宋_GB2312" w:cs="Times New Roman"/>
          <w:b w:val="0"/>
          <w:bCs w:val="0"/>
          <w:color w:val="000000"/>
          <w:kern w:val="0"/>
          <w:sz w:val="32"/>
          <w:szCs w:val="32"/>
          <w:highlight w:val="none"/>
          <w:lang w:val="en-US" w:eastAsia="zh-CN" w:bidi="ar"/>
        </w:rPr>
        <w:t>2.84</w:t>
      </w:r>
      <w:r>
        <w:rPr>
          <w:rFonts w:hint="default" w:ascii="Times New Roman" w:hAnsi="Times New Roman" w:eastAsia="仿宋_GB2312" w:cs="Times New Roman"/>
          <w:b w:val="0"/>
          <w:bCs w:val="0"/>
          <w:color w:val="000000"/>
          <w:kern w:val="0"/>
          <w:sz w:val="32"/>
          <w:szCs w:val="32"/>
          <w:highlight w:val="none"/>
          <w:lang w:bidi="ar"/>
        </w:rPr>
        <w:t>万元，其中年初预算</w:t>
      </w:r>
      <w:r>
        <w:rPr>
          <w:rFonts w:hint="default" w:ascii="Times New Roman" w:hAnsi="Times New Roman" w:eastAsia="仿宋_GB2312" w:cs="Times New Roman"/>
          <w:b w:val="0"/>
          <w:bCs w:val="0"/>
          <w:color w:val="000000"/>
          <w:kern w:val="0"/>
          <w:sz w:val="32"/>
          <w:szCs w:val="32"/>
          <w:highlight w:val="none"/>
          <w:lang w:val="en-US" w:eastAsia="zh-CN" w:bidi="ar"/>
        </w:rPr>
        <w:t>3.32</w:t>
      </w:r>
      <w:r>
        <w:rPr>
          <w:rFonts w:hint="default" w:ascii="Times New Roman" w:hAnsi="Times New Roman" w:eastAsia="仿宋_GB2312" w:cs="Times New Roman"/>
          <w:b w:val="0"/>
          <w:bCs w:val="0"/>
          <w:color w:val="000000"/>
          <w:kern w:val="0"/>
          <w:sz w:val="32"/>
          <w:szCs w:val="32"/>
          <w:highlight w:val="none"/>
          <w:lang w:bidi="ar"/>
        </w:rPr>
        <w:t>万元，实际支出</w:t>
      </w:r>
      <w:r>
        <w:rPr>
          <w:rFonts w:hint="default" w:ascii="Times New Roman" w:hAnsi="Times New Roman" w:eastAsia="仿宋_GB2312" w:cs="Times New Roman"/>
          <w:b w:val="0"/>
          <w:bCs w:val="0"/>
          <w:color w:val="000000"/>
          <w:kern w:val="0"/>
          <w:sz w:val="32"/>
          <w:szCs w:val="32"/>
          <w:highlight w:val="none"/>
          <w:lang w:val="en-US" w:eastAsia="zh-CN" w:bidi="ar"/>
        </w:rPr>
        <w:t>2.84</w:t>
      </w:r>
      <w:r>
        <w:rPr>
          <w:rFonts w:hint="default" w:ascii="Times New Roman" w:hAnsi="Times New Roman" w:eastAsia="仿宋_GB2312" w:cs="Times New Roman"/>
          <w:b w:val="0"/>
          <w:bCs w:val="0"/>
          <w:color w:val="000000"/>
          <w:kern w:val="0"/>
          <w:sz w:val="32"/>
          <w:szCs w:val="32"/>
          <w:highlight w:val="none"/>
          <w:lang w:bidi="ar"/>
        </w:rPr>
        <w:t xml:space="preserve">万元。 </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二、项目支出绩效情况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20" w:firstLineChars="200"/>
        <w:jc w:val="both"/>
        <w:textAlignment w:val="auto"/>
        <w:rPr>
          <w:rFonts w:hint="default" w:ascii="Times New Roman" w:hAnsi="Times New Roman" w:eastAsia="仿宋_GB2312" w:cs="Times New Roman"/>
          <w:color w:val="000000"/>
          <w:kern w:val="0"/>
          <w:sz w:val="31"/>
          <w:szCs w:val="31"/>
          <w:rtl w:val="0"/>
          <w:lang w:val="en-US" w:eastAsia="zh-CN" w:bidi="ar"/>
        </w:rPr>
      </w:pPr>
      <w:r>
        <w:rPr>
          <w:rFonts w:hint="default" w:ascii="Times New Roman" w:hAnsi="Times New Roman" w:eastAsia="仿宋_GB2312" w:cs="Times New Roman"/>
          <w:color w:val="000000"/>
          <w:kern w:val="0"/>
          <w:sz w:val="31"/>
          <w:szCs w:val="31"/>
          <w:lang w:val="en-US" w:eastAsia="zh-CN" w:bidi="ar"/>
        </w:rPr>
        <w:t>2024年重点项目经费经建科划转支出</w:t>
      </w:r>
      <w:r>
        <w:rPr>
          <w:rFonts w:hint="default" w:ascii="Times New Roman" w:hAnsi="Times New Roman" w:eastAsia="仿宋_GB2312" w:cs="Times New Roman"/>
          <w:b w:val="0"/>
          <w:bCs w:val="0"/>
          <w:color w:val="000000"/>
          <w:kern w:val="0"/>
          <w:sz w:val="32"/>
          <w:szCs w:val="32"/>
          <w:highlight w:val="none"/>
          <w:lang w:val="en-US" w:eastAsia="zh-CN" w:bidi="ar"/>
        </w:rPr>
        <w:t>2.84</w:t>
      </w:r>
      <w:r>
        <w:rPr>
          <w:rFonts w:hint="default" w:ascii="Times New Roman" w:hAnsi="Times New Roman" w:eastAsia="仿宋_GB2312" w:cs="Times New Roman"/>
          <w:color w:val="000000"/>
          <w:kern w:val="0"/>
          <w:sz w:val="31"/>
          <w:szCs w:val="31"/>
          <w:lang w:val="en-US" w:eastAsia="zh-CN" w:bidi="ar"/>
        </w:rPr>
        <w:t>万元，主要用于支出株洲市超长期国债政策分析和项目策划专题培训会会务费用及专家费用。项目实施及绩效情况如下：</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color w:val="000000"/>
          <w:kern w:val="0"/>
          <w:sz w:val="31"/>
          <w:szCs w:val="31"/>
          <w:rtl w:val="0"/>
          <w:lang w:val="en-US" w:eastAsia="zh-CN" w:bidi="ar"/>
        </w:rPr>
      </w:pPr>
      <w:r>
        <w:rPr>
          <w:rFonts w:hint="default" w:ascii="Times New Roman" w:hAnsi="Times New Roman" w:eastAsia="仿宋_GB2312" w:cs="Times New Roman"/>
          <w:b w:val="0"/>
          <w:bCs w:val="0"/>
          <w:color w:val="000000"/>
          <w:kern w:val="0"/>
          <w:sz w:val="32"/>
          <w:szCs w:val="32"/>
          <w:rtl w:val="0"/>
          <w:lang w:val="en-US" w:eastAsia="zh-CN" w:bidi="ar"/>
        </w:rPr>
        <w:t>（一）成本指标方面。</w:t>
      </w:r>
      <w:r>
        <w:rPr>
          <w:rFonts w:hint="default" w:ascii="Times New Roman" w:hAnsi="Times New Roman" w:eastAsia="仿宋_GB2312" w:cs="Times New Roman"/>
          <w:color w:val="000000"/>
          <w:kern w:val="0"/>
          <w:sz w:val="31"/>
          <w:szCs w:val="31"/>
          <w:rtl w:val="0"/>
          <w:lang w:val="en-US" w:eastAsia="zh-CN" w:bidi="ar"/>
        </w:rPr>
        <w:t>此专项</w:t>
      </w:r>
      <w:r>
        <w:rPr>
          <w:rFonts w:hint="default" w:ascii="Times New Roman" w:hAnsi="Times New Roman" w:eastAsia="仿宋_GB2312" w:cs="Times New Roman"/>
          <w:color w:val="000000"/>
          <w:kern w:val="0"/>
          <w:sz w:val="31"/>
          <w:szCs w:val="31"/>
          <w:lang w:val="en-US" w:eastAsia="zh-CN" w:bidi="ar"/>
        </w:rPr>
        <w:t>实际支出</w:t>
      </w:r>
      <w:r>
        <w:rPr>
          <w:rFonts w:hint="default" w:ascii="Times New Roman" w:hAnsi="Times New Roman" w:eastAsia="仿宋_GB2312" w:cs="Times New Roman"/>
          <w:b w:val="0"/>
          <w:bCs w:val="0"/>
          <w:color w:val="000000"/>
          <w:kern w:val="0"/>
          <w:sz w:val="32"/>
          <w:szCs w:val="32"/>
          <w:highlight w:val="none"/>
          <w:lang w:val="en-US" w:eastAsia="zh-CN" w:bidi="ar"/>
        </w:rPr>
        <w:t>2.84</w:t>
      </w:r>
      <w:r>
        <w:rPr>
          <w:rFonts w:hint="default" w:ascii="Times New Roman" w:hAnsi="Times New Roman" w:eastAsia="仿宋_GB2312" w:cs="Times New Roman"/>
          <w:color w:val="000000"/>
          <w:kern w:val="0"/>
          <w:sz w:val="31"/>
          <w:szCs w:val="31"/>
          <w:lang w:val="en-US" w:eastAsia="zh-CN" w:bidi="ar"/>
        </w:rPr>
        <w:t>万元，满足经济成本指标中控制成本不超过3.32万元的三级指标。</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（二）数量指标方面。</w:t>
      </w:r>
      <w:r>
        <w:rPr>
          <w:rFonts w:hint="default" w:ascii="Times New Roman" w:hAnsi="Times New Roman" w:eastAsia="仿宋_GB2312" w:cs="Times New Roman"/>
          <w:color w:val="000000"/>
          <w:kern w:val="0"/>
          <w:sz w:val="31"/>
          <w:szCs w:val="31"/>
          <w:lang w:val="en-US" w:eastAsia="zh-CN" w:bidi="ar"/>
        </w:rPr>
        <w:t>2024年新获评工业重点领域超长期国债“两重”、“两新”项目18个，超过既定目标10个。新获评工业重点领域超长期国债“两重”、“两新”项目项目开工率方面，经调度目前项目已全部开工建设，均有实物工程量，超过既定目标95%。</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3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（三）社会效益指标方面。</w:t>
      </w:r>
      <w:r>
        <w:rPr>
          <w:rFonts w:hint="default" w:ascii="Times New Roman" w:hAnsi="Times New Roman" w:eastAsia="仿宋_GB2312" w:cs="Times New Roman"/>
          <w:color w:val="000000"/>
          <w:kern w:val="0"/>
          <w:sz w:val="31"/>
          <w:szCs w:val="31"/>
          <w:lang w:val="en-US" w:eastAsia="zh-CN" w:bidi="ar"/>
        </w:rPr>
        <w:t>2024年1-12月，我市工业固定资产投资增长10.2%，高于全省0.7个百分点。满足工业投资增速≥5%的既定目标。</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3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（四）服务对象满意度指标方面。</w:t>
      </w:r>
      <w:r>
        <w:rPr>
          <w:rFonts w:hint="default" w:ascii="Times New Roman" w:hAnsi="Times New Roman" w:eastAsia="仿宋_GB2312" w:cs="Times New Roman"/>
          <w:color w:val="000000"/>
          <w:kern w:val="0"/>
          <w:sz w:val="31"/>
          <w:szCs w:val="31"/>
          <w:lang w:val="en-US" w:eastAsia="zh-CN" w:bidi="ar"/>
        </w:rPr>
        <w:t>会后经询问参会企业及相关县市区发改、工信部门，全部反馈十分满意，经此培训会对政策理解更深一层。</w:t>
      </w:r>
    </w:p>
    <w:p>
      <w:pPr>
        <w:widowControl/>
        <w:spacing w:line="600" w:lineRule="exact"/>
        <w:jc w:val="both"/>
        <w:rPr>
          <w:rFonts w:hint="default" w:ascii="Times New Roman" w:hAnsi="Times New Roman" w:eastAsia="方正大标宋简体" w:cs="Times New Roman"/>
          <w:color w:val="000000"/>
          <w:sz w:val="36"/>
          <w:szCs w:val="36"/>
        </w:rPr>
        <w:sectPr>
          <w:footerReference r:id="rId14" w:type="default"/>
          <w:pgSz w:w="11906" w:h="16838"/>
          <w:pgMar w:top="1984" w:right="1531" w:bottom="1701" w:left="1531" w:header="851" w:footer="1588" w:gutter="0"/>
          <w:cols w:space="720" w:num="1"/>
          <w:docGrid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2024年度项目支出绩效自评表</w:t>
      </w:r>
    </w:p>
    <w:tbl>
      <w:tblPr>
        <w:tblStyle w:val="22"/>
        <w:tblW w:w="9839" w:type="dxa"/>
        <w:jc w:val="center"/>
        <w:tblLayout w:type="autofit"/>
        <w:tblCellMar>
          <w:top w:w="0" w:type="dxa"/>
          <w:left w:w="108" w:type="dxa"/>
          <w:bottom w:w="0" w:type="dxa"/>
          <w:right w:w="108" w:type="dxa"/>
        </w:tblCellMar>
      </w:tblPr>
      <w:tblGrid>
        <w:gridCol w:w="1077"/>
        <w:gridCol w:w="1077"/>
        <w:gridCol w:w="1079"/>
        <w:gridCol w:w="1222"/>
        <w:gridCol w:w="1135"/>
        <w:gridCol w:w="1228"/>
        <w:gridCol w:w="773"/>
        <w:gridCol w:w="828"/>
        <w:gridCol w:w="1420"/>
      </w:tblGrid>
      <w:tr>
        <w:tblPrEx>
          <w:tblCellMar>
            <w:top w:w="0" w:type="dxa"/>
            <w:left w:w="108" w:type="dxa"/>
            <w:bottom w:w="0" w:type="dxa"/>
            <w:right w:w="108" w:type="dxa"/>
          </w:tblCellMar>
        </w:tblPrEx>
        <w:trPr>
          <w:trHeight w:val="582"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62"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2024年重点项目经费经建科划转3.32万</w:t>
            </w: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398" w:hRule="atLeast"/>
          <w:jc w:val="center"/>
        </w:trPr>
        <w:tc>
          <w:tcPr>
            <w:tcW w:w="107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3"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株洲市工业和信息化局</w:t>
            </w:r>
          </w:p>
        </w:tc>
        <w:tc>
          <w:tcPr>
            <w:tcW w:w="1228"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021"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株洲市工业和信息化局</w:t>
            </w:r>
            <w:r>
              <w:rPr>
                <w:rFonts w:hint="eastAsia" w:ascii="Times New Roman" w:hAnsi="Times New Roman" w:eastAsia="仿宋_GB2312" w:cs="Times New Roman"/>
                <w:color w:val="000000"/>
                <w:sz w:val="20"/>
                <w:szCs w:val="20"/>
                <w:lang w:val="en-US" w:eastAsia="zh-CN"/>
              </w:rPr>
              <w:t>机关</w:t>
            </w:r>
          </w:p>
        </w:tc>
      </w:tr>
      <w:tr>
        <w:tblPrEx>
          <w:tblCellMar>
            <w:top w:w="0" w:type="dxa"/>
            <w:left w:w="108" w:type="dxa"/>
            <w:bottom w:w="0" w:type="dxa"/>
            <w:right w:w="108" w:type="dxa"/>
          </w:tblCellMar>
        </w:tblPrEx>
        <w:trPr>
          <w:trHeight w:val="554"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22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77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2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2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460"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3.32</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2.84</w:t>
            </w:r>
          </w:p>
        </w:tc>
        <w:tc>
          <w:tcPr>
            <w:tcW w:w="12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2.84</w:t>
            </w:r>
          </w:p>
        </w:tc>
        <w:tc>
          <w:tcPr>
            <w:tcW w:w="7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8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r>
      <w:tr>
        <w:tblPrEx>
          <w:tblCellMar>
            <w:top w:w="0" w:type="dxa"/>
            <w:left w:w="108" w:type="dxa"/>
            <w:bottom w:w="0" w:type="dxa"/>
            <w:right w:w="108" w:type="dxa"/>
          </w:tblCellMar>
        </w:tblPrEx>
        <w:trPr>
          <w:trHeight w:val="422"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2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7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2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7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3.32</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2.84</w:t>
            </w:r>
          </w:p>
        </w:tc>
        <w:tc>
          <w:tcPr>
            <w:tcW w:w="12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2.84</w:t>
            </w:r>
          </w:p>
        </w:tc>
        <w:tc>
          <w:tcPr>
            <w:tcW w:w="7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r>
              <w:rPr>
                <w:rFonts w:hint="default"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trHeight w:val="386"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1018"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力争超过10个工业领域“两重”、“两新”项目获评，工业投资增速≥5%　　</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1</w:t>
            </w:r>
            <w:r>
              <w:rPr>
                <w:rFonts w:hint="default" w:ascii="Times New Roman" w:hAnsi="Times New Roman" w:eastAsia="仿宋_GB2312" w:cs="Times New Roman"/>
                <w:color w:val="000000"/>
                <w:sz w:val="20"/>
                <w:szCs w:val="20"/>
                <w:lang w:val="en-US" w:eastAsia="zh-CN"/>
              </w:rPr>
              <w:t>8</w:t>
            </w:r>
            <w:r>
              <w:rPr>
                <w:rFonts w:hint="default" w:ascii="Times New Roman" w:hAnsi="Times New Roman" w:eastAsia="仿宋_GB2312" w:cs="Times New Roman"/>
                <w:color w:val="000000"/>
                <w:sz w:val="20"/>
                <w:szCs w:val="20"/>
              </w:rPr>
              <w:t>个</w:t>
            </w:r>
            <w:r>
              <w:rPr>
                <w:rFonts w:hint="default" w:ascii="Times New Roman" w:hAnsi="Times New Roman" w:eastAsia="仿宋_GB2312" w:cs="Times New Roman"/>
                <w:color w:val="000000"/>
                <w:sz w:val="20"/>
                <w:szCs w:val="20"/>
                <w:lang w:val="en-US" w:eastAsia="zh-CN"/>
              </w:rPr>
              <w:t>项目获评</w:t>
            </w:r>
            <w:r>
              <w:rPr>
                <w:rFonts w:hint="default" w:ascii="Times New Roman" w:hAnsi="Times New Roman" w:eastAsia="仿宋_GB2312" w:cs="Times New Roman"/>
                <w:color w:val="000000"/>
                <w:sz w:val="20"/>
                <w:szCs w:val="20"/>
              </w:rPr>
              <w:t>工业领域“两重”、“两新”项目，工业投资增速</w:t>
            </w:r>
            <w:r>
              <w:rPr>
                <w:rFonts w:hint="default" w:ascii="Times New Roman" w:hAnsi="Times New Roman" w:eastAsia="仿宋_GB2312" w:cs="Times New Roman"/>
                <w:color w:val="000000"/>
                <w:sz w:val="20"/>
                <w:szCs w:val="20"/>
                <w:lang w:val="en-US" w:eastAsia="zh-CN"/>
              </w:rPr>
              <w:t>10.2%</w:t>
            </w:r>
          </w:p>
        </w:tc>
      </w:tr>
      <w:tr>
        <w:tblPrEx>
          <w:tblCellMar>
            <w:top w:w="0" w:type="dxa"/>
            <w:left w:w="108" w:type="dxa"/>
            <w:bottom w:w="0" w:type="dxa"/>
            <w:right w:w="108" w:type="dxa"/>
          </w:tblCellMar>
        </w:tblPrEx>
        <w:trPr>
          <w:trHeight w:val="588" w:hRule="atLeast"/>
          <w:jc w:val="center"/>
        </w:trPr>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2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7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及改进措施</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40分</w:t>
            </w:r>
            <w:r>
              <w:rPr>
                <w:rFonts w:hint="default" w:ascii="Times New Roman" w:hAnsi="Times New Roman" w:eastAsia="仿宋_GB2312" w:cs="Times New Roman"/>
                <w:color w:val="000000"/>
                <w:sz w:val="20"/>
                <w:szCs w:val="20"/>
                <w:lang w:eastAsia="zh-CN"/>
              </w:rPr>
              <w:t>）</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新获评工业重点领域超长期国债“两重”、“两新”项目</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东文宋体" w:cs="Times New Roman"/>
                <w:color w:val="000000"/>
                <w:sz w:val="20"/>
                <w:szCs w:val="20"/>
              </w:rPr>
              <w:t>≥</w:t>
            </w:r>
            <w:r>
              <w:rPr>
                <w:rFonts w:hint="default" w:ascii="Times New Roman" w:hAnsi="Times New Roman" w:eastAsia="仿宋_GB2312" w:cs="Times New Roman"/>
                <w:color w:val="000000"/>
                <w:sz w:val="20"/>
                <w:szCs w:val="20"/>
                <w:lang w:val="en-US" w:eastAsia="zh-CN"/>
              </w:rPr>
              <w:t>10个</w:t>
            </w:r>
          </w:p>
        </w:tc>
        <w:tc>
          <w:tcPr>
            <w:tcW w:w="12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18个</w:t>
            </w:r>
          </w:p>
        </w:tc>
        <w:tc>
          <w:tcPr>
            <w:tcW w:w="7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25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参会人数</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东文宋体" w:cs="Times New Roman"/>
                <w:color w:val="000000"/>
                <w:sz w:val="20"/>
                <w:szCs w:val="20"/>
                <w:lang w:val="en-US" w:eastAsia="zh-CN"/>
              </w:rPr>
            </w:pPr>
            <w:r>
              <w:rPr>
                <w:rFonts w:hint="default" w:ascii="Times New Roman" w:hAnsi="Times New Roman" w:eastAsia="东文宋体" w:cs="Times New Roman"/>
                <w:color w:val="000000"/>
                <w:sz w:val="20"/>
                <w:szCs w:val="20"/>
              </w:rPr>
              <w:t>≥</w:t>
            </w:r>
            <w:r>
              <w:rPr>
                <w:rFonts w:hint="eastAsia" w:ascii="Times New Roman" w:hAnsi="Times New Roman" w:eastAsia="东文宋体" w:cs="Times New Roman"/>
                <w:color w:val="000000"/>
                <w:sz w:val="20"/>
                <w:szCs w:val="20"/>
                <w:lang w:val="en-US" w:eastAsia="zh-CN"/>
              </w:rPr>
              <w:t>100人</w:t>
            </w:r>
          </w:p>
        </w:tc>
        <w:tc>
          <w:tcPr>
            <w:tcW w:w="12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大于100人</w:t>
            </w:r>
          </w:p>
        </w:tc>
        <w:tc>
          <w:tcPr>
            <w:tcW w:w="7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项目开工率</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东文宋体" w:cs="Times New Roman"/>
                <w:color w:val="000000"/>
                <w:sz w:val="20"/>
                <w:szCs w:val="20"/>
              </w:rPr>
              <w:t>≥</w:t>
            </w:r>
            <w:r>
              <w:rPr>
                <w:rFonts w:hint="default" w:ascii="Times New Roman" w:hAnsi="Times New Roman" w:eastAsia="仿宋_GB2312" w:cs="Times New Roman"/>
                <w:color w:val="000000"/>
                <w:sz w:val="20"/>
                <w:szCs w:val="20"/>
                <w:lang w:val="en-US" w:eastAsia="zh-CN"/>
              </w:rPr>
              <w:t>95%</w:t>
            </w:r>
          </w:p>
        </w:tc>
        <w:tc>
          <w:tcPr>
            <w:tcW w:w="12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r>
              <w:rPr>
                <w:rFonts w:hint="eastAsia" w:ascii="Times New Roman" w:hAnsi="Times New Roman" w:eastAsia="仿宋_GB2312" w:cs="Times New Roman"/>
                <w:color w:val="000000"/>
                <w:sz w:val="20"/>
                <w:szCs w:val="20"/>
                <w:lang w:val="en-US" w:eastAsia="zh-CN"/>
              </w:rPr>
              <w:t>%</w:t>
            </w:r>
          </w:p>
        </w:tc>
        <w:tc>
          <w:tcPr>
            <w:tcW w:w="7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工业</w:t>
            </w:r>
            <w:r>
              <w:rPr>
                <w:rFonts w:hint="eastAsia" w:ascii="Times New Roman" w:hAnsi="Times New Roman" w:eastAsia="仿宋_GB2312" w:cs="Times New Roman"/>
                <w:color w:val="000000"/>
                <w:sz w:val="20"/>
                <w:szCs w:val="20"/>
                <w:lang w:val="en-US" w:eastAsia="zh-CN"/>
              </w:rPr>
              <w:t>技改</w:t>
            </w:r>
            <w:r>
              <w:rPr>
                <w:rFonts w:hint="default" w:ascii="Times New Roman" w:hAnsi="Times New Roman" w:eastAsia="仿宋_GB2312" w:cs="Times New Roman"/>
                <w:color w:val="000000"/>
                <w:sz w:val="20"/>
                <w:szCs w:val="20"/>
              </w:rPr>
              <w:t>投资增速</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东文宋体" w:cs="Times New Roman"/>
                <w:color w:val="000000"/>
                <w:sz w:val="20"/>
                <w:szCs w:val="20"/>
              </w:rPr>
              <w:t>≥</w:t>
            </w:r>
            <w:r>
              <w:rPr>
                <w:rFonts w:hint="eastAsia" w:ascii="Times New Roman" w:hAnsi="Times New Roman" w:eastAsia="东文宋体" w:cs="Times New Roman"/>
                <w:color w:val="000000"/>
                <w:sz w:val="20"/>
                <w:szCs w:val="20"/>
                <w:lang w:val="en-US" w:eastAsia="zh-CN"/>
              </w:rPr>
              <w:t>2</w:t>
            </w:r>
            <w:r>
              <w:rPr>
                <w:rFonts w:hint="default" w:ascii="Times New Roman" w:hAnsi="Times New Roman" w:eastAsia="仿宋_GB2312" w:cs="Times New Roman"/>
                <w:color w:val="000000"/>
                <w:sz w:val="20"/>
                <w:szCs w:val="20"/>
                <w:lang w:val="en-US" w:eastAsia="zh-CN"/>
              </w:rPr>
              <w:t>%</w:t>
            </w:r>
          </w:p>
        </w:tc>
        <w:tc>
          <w:tcPr>
            <w:tcW w:w="12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3.6%</w:t>
            </w:r>
          </w:p>
        </w:tc>
        <w:tc>
          <w:tcPr>
            <w:tcW w:w="7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5</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工业投资增速</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东文宋体" w:cs="Times New Roman"/>
                <w:color w:val="000000"/>
                <w:sz w:val="20"/>
                <w:szCs w:val="20"/>
              </w:rPr>
              <w:t>≥</w:t>
            </w:r>
            <w:r>
              <w:rPr>
                <w:rFonts w:hint="default" w:ascii="Times New Roman" w:hAnsi="Times New Roman" w:eastAsia="仿宋_GB2312" w:cs="Times New Roman"/>
                <w:color w:val="000000"/>
                <w:sz w:val="20"/>
                <w:szCs w:val="20"/>
                <w:lang w:val="en-US" w:eastAsia="zh-CN"/>
              </w:rPr>
              <w:t>5%</w:t>
            </w:r>
          </w:p>
        </w:tc>
        <w:tc>
          <w:tcPr>
            <w:tcW w:w="12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10.2%</w:t>
            </w:r>
          </w:p>
        </w:tc>
        <w:tc>
          <w:tcPr>
            <w:tcW w:w="7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2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7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发放政策宣传册</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东文宋体" w:cs="Times New Roman"/>
                <w:color w:val="000000"/>
                <w:sz w:val="20"/>
                <w:szCs w:val="20"/>
              </w:rPr>
              <w:t>≥</w:t>
            </w:r>
            <w:r>
              <w:rPr>
                <w:rFonts w:hint="eastAsia" w:ascii="Times New Roman" w:hAnsi="Times New Roman" w:eastAsia="东文宋体" w:cs="Times New Roman"/>
                <w:color w:val="000000"/>
                <w:sz w:val="20"/>
                <w:szCs w:val="20"/>
                <w:lang w:val="en-US" w:eastAsia="zh-CN"/>
              </w:rPr>
              <w:t>100份</w:t>
            </w:r>
          </w:p>
        </w:tc>
        <w:tc>
          <w:tcPr>
            <w:tcW w:w="12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500份</w:t>
            </w:r>
          </w:p>
        </w:tc>
        <w:tc>
          <w:tcPr>
            <w:tcW w:w="7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5</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1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服务对象满意度</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东文宋体" w:cs="Times New Roman"/>
                <w:color w:val="000000"/>
                <w:sz w:val="20"/>
                <w:szCs w:val="20"/>
              </w:rPr>
              <w:t>≥</w:t>
            </w:r>
            <w:r>
              <w:rPr>
                <w:rFonts w:hint="default" w:ascii="Times New Roman" w:hAnsi="Times New Roman" w:eastAsia="仿宋_GB2312" w:cs="Times New Roman"/>
                <w:color w:val="000000"/>
                <w:sz w:val="20"/>
                <w:szCs w:val="20"/>
                <w:lang w:val="en-US" w:eastAsia="zh-CN"/>
              </w:rPr>
              <w:t>90%</w:t>
            </w:r>
          </w:p>
        </w:tc>
        <w:tc>
          <w:tcPr>
            <w:tcW w:w="12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r>
              <w:rPr>
                <w:rFonts w:hint="eastAsia" w:ascii="Times New Roman" w:hAnsi="Times New Roman" w:eastAsia="仿宋_GB2312" w:cs="Times New Roman"/>
                <w:color w:val="000000"/>
                <w:sz w:val="20"/>
                <w:szCs w:val="20"/>
                <w:lang w:val="en-US" w:eastAsia="zh-CN"/>
              </w:rPr>
              <w:t>%</w:t>
            </w:r>
          </w:p>
        </w:tc>
        <w:tc>
          <w:tcPr>
            <w:tcW w:w="7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控制成本不超过3.32万元</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东文宋体"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3.32</w:t>
            </w:r>
            <w:r>
              <w:rPr>
                <w:rFonts w:hint="default" w:ascii="Times New Roman" w:hAnsi="Times New Roman" w:eastAsia="仿宋_GB2312" w:cs="Times New Roman"/>
                <w:color w:val="000000"/>
                <w:sz w:val="20"/>
                <w:szCs w:val="20"/>
                <w:highlight w:val="none"/>
                <w:lang w:eastAsia="zh-CN"/>
              </w:rPr>
              <w:t>万元</w:t>
            </w:r>
          </w:p>
        </w:tc>
        <w:tc>
          <w:tcPr>
            <w:tcW w:w="12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2.84</w:t>
            </w:r>
            <w:r>
              <w:rPr>
                <w:rFonts w:hint="default" w:ascii="Times New Roman" w:hAnsi="Times New Roman" w:eastAsia="仿宋_GB2312" w:cs="Times New Roman"/>
                <w:color w:val="000000"/>
                <w:sz w:val="20"/>
                <w:szCs w:val="20"/>
                <w:highlight w:val="none"/>
                <w:lang w:eastAsia="zh-CN"/>
              </w:rPr>
              <w:t>万元</w:t>
            </w:r>
          </w:p>
        </w:tc>
        <w:tc>
          <w:tcPr>
            <w:tcW w:w="7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2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7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07" w:hRule="atLeast"/>
          <w:jc w:val="center"/>
        </w:trPr>
        <w:tc>
          <w:tcPr>
            <w:tcW w:w="6818"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r>
    </w:tbl>
    <w:p>
      <w:pPr>
        <w:tabs>
          <w:tab w:val="left" w:pos="7560"/>
        </w:tabs>
        <w:adjustRightInd w:val="0"/>
        <w:snapToGrid w:val="0"/>
        <w:spacing w:line="560" w:lineRule="exact"/>
        <w:jc w:val="left"/>
        <w:rPr>
          <w:rFonts w:hint="default" w:ascii="Times New Roman" w:hAnsi="Times New Roman" w:eastAsia="仿宋_GB2312" w:cs="Times New Roman"/>
          <w:sz w:val="28"/>
          <w:szCs w:val="28"/>
        </w:rPr>
      </w:pP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工信系统相关专家核查经费</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1"/>
          <w:szCs w:val="41"/>
          <w:lang w:val="en-US" w:eastAsia="zh-CN" w:bidi="ar"/>
        </w:rPr>
        <w:t>绩效自评报告</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楷体_GB2312" w:cs="Times New Roman"/>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一、预算收支出情况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0"/>
          <w:sz w:val="32"/>
          <w:szCs w:val="32"/>
          <w:highlight w:val="none"/>
          <w:lang w:bidi="ar"/>
        </w:rPr>
        <w:t>2024年预算</w:t>
      </w:r>
      <w:r>
        <w:rPr>
          <w:rFonts w:hint="default" w:ascii="Times New Roman" w:hAnsi="Times New Roman" w:eastAsia="仿宋_GB2312" w:cs="Times New Roman"/>
          <w:b w:val="0"/>
          <w:bCs w:val="0"/>
          <w:color w:val="000000"/>
          <w:kern w:val="0"/>
          <w:sz w:val="32"/>
          <w:szCs w:val="32"/>
          <w:highlight w:val="none"/>
          <w:lang w:val="en-US" w:eastAsia="zh-CN" w:bidi="ar"/>
        </w:rPr>
        <w:t>7.03</w:t>
      </w:r>
      <w:r>
        <w:rPr>
          <w:rFonts w:hint="default" w:ascii="Times New Roman" w:hAnsi="Times New Roman" w:eastAsia="仿宋_GB2312" w:cs="Times New Roman"/>
          <w:b w:val="0"/>
          <w:bCs w:val="0"/>
          <w:color w:val="000000"/>
          <w:kern w:val="0"/>
          <w:sz w:val="32"/>
          <w:szCs w:val="32"/>
          <w:highlight w:val="none"/>
          <w:lang w:bidi="ar"/>
        </w:rPr>
        <w:t>万元，其中年初预算</w:t>
      </w:r>
      <w:r>
        <w:rPr>
          <w:rFonts w:hint="default" w:ascii="Times New Roman" w:hAnsi="Times New Roman" w:eastAsia="仿宋_GB2312" w:cs="Times New Roman"/>
          <w:b w:val="0"/>
          <w:bCs w:val="0"/>
          <w:color w:val="000000"/>
          <w:kern w:val="0"/>
          <w:sz w:val="32"/>
          <w:szCs w:val="32"/>
          <w:highlight w:val="none"/>
          <w:lang w:val="en-US" w:eastAsia="zh-CN" w:bidi="ar"/>
        </w:rPr>
        <w:t>2</w:t>
      </w:r>
      <w:r>
        <w:rPr>
          <w:rFonts w:hint="default" w:ascii="Times New Roman" w:hAnsi="Times New Roman" w:eastAsia="仿宋_GB2312" w:cs="Times New Roman"/>
          <w:b w:val="0"/>
          <w:bCs w:val="0"/>
          <w:color w:val="000000"/>
          <w:kern w:val="0"/>
          <w:sz w:val="32"/>
          <w:szCs w:val="32"/>
          <w:highlight w:val="none"/>
          <w:lang w:bidi="ar"/>
        </w:rPr>
        <w:t>0万元，实际支出</w:t>
      </w:r>
      <w:r>
        <w:rPr>
          <w:rFonts w:hint="default" w:ascii="Times New Roman" w:hAnsi="Times New Roman" w:eastAsia="仿宋_GB2312" w:cs="Times New Roman"/>
          <w:b w:val="0"/>
          <w:bCs w:val="0"/>
          <w:color w:val="000000"/>
          <w:kern w:val="0"/>
          <w:sz w:val="32"/>
          <w:szCs w:val="32"/>
          <w:highlight w:val="none"/>
          <w:lang w:val="en-US" w:eastAsia="zh-CN" w:bidi="ar"/>
        </w:rPr>
        <w:t>7.03</w:t>
      </w:r>
      <w:r>
        <w:rPr>
          <w:rFonts w:hint="default" w:ascii="Times New Roman" w:hAnsi="Times New Roman" w:eastAsia="仿宋_GB2312" w:cs="Times New Roman"/>
          <w:b w:val="0"/>
          <w:bCs w:val="0"/>
          <w:color w:val="000000"/>
          <w:kern w:val="0"/>
          <w:sz w:val="32"/>
          <w:szCs w:val="32"/>
          <w:highlight w:val="none"/>
          <w:lang w:bidi="ar"/>
        </w:rPr>
        <w:t xml:space="preserve">万元。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二、项目支出绩效情况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1"/>
          <w:szCs w:val="31"/>
          <w:lang w:val="en-US" w:eastAsia="zh-CN" w:bidi="ar"/>
        </w:rPr>
        <w:t>2024年工信系统相关专家核查经费实际支出7.03万元。</w:t>
      </w:r>
      <w:r>
        <w:rPr>
          <w:rFonts w:hint="default" w:ascii="Times New Roman" w:hAnsi="Times New Roman" w:eastAsia="仿宋_GB2312" w:cs="Times New Roman"/>
          <w:color w:val="000000"/>
          <w:kern w:val="0"/>
          <w:sz w:val="32"/>
          <w:szCs w:val="32"/>
          <w:lang w:val="en-US" w:eastAsia="zh-CN" w:bidi="ar"/>
        </w:rPr>
        <w:t>项目实施及绩效情况如下：</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000000"/>
          <w:kern w:val="0"/>
          <w:sz w:val="31"/>
          <w:szCs w:val="31"/>
          <w:rtl w:val="0"/>
          <w:lang w:val="en-US" w:eastAsia="zh-CN" w:bidi="ar"/>
        </w:rPr>
      </w:pPr>
      <w:r>
        <w:rPr>
          <w:rFonts w:hint="default" w:ascii="Times New Roman" w:hAnsi="Times New Roman" w:eastAsia="仿宋_GB2312" w:cs="Times New Roman"/>
          <w:b w:val="0"/>
          <w:bCs w:val="0"/>
          <w:color w:val="000000"/>
          <w:kern w:val="0"/>
          <w:sz w:val="32"/>
          <w:szCs w:val="32"/>
          <w:rtl w:val="0"/>
          <w:lang w:val="en-US" w:eastAsia="zh-CN" w:bidi="ar"/>
        </w:rPr>
        <w:t>（一）成本指标方面。</w:t>
      </w:r>
      <w:r>
        <w:rPr>
          <w:rFonts w:hint="default" w:ascii="Times New Roman" w:hAnsi="Times New Roman" w:eastAsia="仿宋_GB2312" w:cs="Times New Roman"/>
          <w:color w:val="000000"/>
          <w:kern w:val="0"/>
          <w:sz w:val="31"/>
          <w:szCs w:val="31"/>
          <w:rtl w:val="0"/>
          <w:lang w:val="en-US" w:eastAsia="zh-CN" w:bidi="ar"/>
        </w:rPr>
        <w:t>此专项</w:t>
      </w:r>
      <w:r>
        <w:rPr>
          <w:rFonts w:hint="default" w:ascii="Times New Roman" w:hAnsi="Times New Roman" w:eastAsia="仿宋_GB2312" w:cs="Times New Roman"/>
          <w:color w:val="000000"/>
          <w:kern w:val="0"/>
          <w:sz w:val="31"/>
          <w:szCs w:val="31"/>
          <w:lang w:val="en-US" w:eastAsia="zh-CN" w:bidi="ar"/>
        </w:rPr>
        <w:t>实际支出7.03万元，满足经济成本指标中控制成本不超过20万元的三级指标。</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5"/>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（二）数量指标方面。</w:t>
      </w:r>
      <w:r>
        <w:rPr>
          <w:rFonts w:hint="default" w:ascii="Times New Roman" w:hAnsi="Times New Roman" w:eastAsia="仿宋_GB2312" w:cs="Times New Roman"/>
          <w:color w:val="000000"/>
          <w:kern w:val="0"/>
          <w:sz w:val="31"/>
          <w:szCs w:val="31"/>
          <w:lang w:val="en-US" w:eastAsia="zh-CN" w:bidi="ar"/>
        </w:rPr>
        <w:t>开展专家评审场次3次，分别为自愿性清洁生产审核、“两新”项目审核、对茶陵县、醴陵市造纸厂和陶瓷生产企业进行工艺技术装备及产品进行鉴定是否属于国家明令淘汰的落后工艺技术装备及落后产品，满足开展专家评审场次大于等于2场的目标。</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3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（三）效益指标方面。</w:t>
      </w:r>
      <w:r>
        <w:rPr>
          <w:rFonts w:hint="default" w:ascii="Times New Roman" w:hAnsi="Times New Roman" w:eastAsia="仿宋_GB2312" w:cs="Times New Roman"/>
          <w:b/>
          <w:bCs/>
          <w:color w:val="000000"/>
          <w:kern w:val="0"/>
          <w:sz w:val="31"/>
          <w:szCs w:val="31"/>
          <w:lang w:val="en-US" w:eastAsia="zh-CN" w:bidi="ar"/>
        </w:rPr>
        <w:t>生态效益指标情况，</w:t>
      </w:r>
      <w:r>
        <w:rPr>
          <w:rFonts w:hint="default" w:ascii="Times New Roman" w:hAnsi="Times New Roman" w:eastAsia="仿宋_GB2312" w:cs="Times New Roman"/>
          <w:color w:val="000000"/>
          <w:kern w:val="0"/>
          <w:sz w:val="31"/>
          <w:szCs w:val="31"/>
          <w:lang w:val="en-US" w:eastAsia="zh-CN" w:bidi="ar"/>
        </w:rPr>
        <w:t>2024年实施清洁生产审核企业52家，大于实施清洁生产审核的企业个数大于等于50的既定目标。</w:t>
      </w:r>
      <w:r>
        <w:rPr>
          <w:rFonts w:hint="default" w:ascii="Times New Roman" w:hAnsi="Times New Roman" w:eastAsia="仿宋_GB2312" w:cs="Times New Roman"/>
          <w:b/>
          <w:bCs/>
          <w:color w:val="000000"/>
          <w:kern w:val="0"/>
          <w:sz w:val="31"/>
          <w:szCs w:val="31"/>
          <w:lang w:val="en-US" w:eastAsia="zh-CN" w:bidi="ar"/>
        </w:rPr>
        <w:t>社会效益指标情况，</w:t>
      </w:r>
      <w:r>
        <w:rPr>
          <w:rFonts w:hint="default" w:ascii="Times New Roman" w:hAnsi="Times New Roman" w:eastAsia="仿宋_GB2312" w:cs="Times New Roman"/>
          <w:color w:val="000000"/>
          <w:kern w:val="0"/>
          <w:sz w:val="31"/>
          <w:szCs w:val="31"/>
          <w:lang w:val="en-US" w:eastAsia="zh-CN" w:bidi="ar"/>
        </w:rPr>
        <w:t>第一、二、三批共有495个项目纳入工信部工业领域设备更新和技术改造专项再贷款项目库，全省排名第一，大于纳入工信部工业领域设备更新和技术改造专项再贷款项目库项目数大于等于400个既定目标。</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3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（四）服务对象满意度指标方面。</w:t>
      </w:r>
      <w:r>
        <w:rPr>
          <w:rFonts w:hint="default" w:ascii="Times New Roman" w:hAnsi="Times New Roman" w:eastAsia="仿宋_GB2312" w:cs="Times New Roman"/>
          <w:color w:val="000000"/>
          <w:kern w:val="0"/>
          <w:sz w:val="31"/>
          <w:szCs w:val="31"/>
          <w:lang w:val="en-US" w:eastAsia="zh-CN" w:bidi="ar"/>
        </w:rPr>
        <w:t>会后经询问参会企业及相关县市区工信部门，全部反馈十分满意。</w:t>
      </w:r>
    </w:p>
    <w:p>
      <w:pPr>
        <w:tabs>
          <w:tab w:val="left" w:pos="7560"/>
        </w:tabs>
        <w:adjustRightInd w:val="0"/>
        <w:snapToGrid w:val="0"/>
        <w:spacing w:line="560" w:lineRule="exact"/>
        <w:rPr>
          <w:rFonts w:hint="default" w:ascii="Times New Roman" w:hAnsi="Times New Roman" w:eastAsia="黑体" w:cs="Times New Roman"/>
          <w:sz w:val="32"/>
          <w:szCs w:val="32"/>
        </w:rPr>
      </w:pPr>
    </w:p>
    <w:p>
      <w:pPr>
        <w:widowControl/>
        <w:spacing w:line="600" w:lineRule="exact"/>
        <w:jc w:val="center"/>
        <w:rPr>
          <w:rFonts w:hint="default" w:ascii="Times New Roman" w:hAnsi="Times New Roman" w:eastAsia="方正大标宋简体" w:cs="Times New Roman"/>
          <w:color w:val="000000"/>
          <w:sz w:val="36"/>
          <w:szCs w:val="36"/>
        </w:rPr>
        <w:sectPr>
          <w:footerReference r:id="rId15" w:type="default"/>
          <w:pgSz w:w="11906" w:h="16838"/>
          <w:pgMar w:top="1984" w:right="1531" w:bottom="1701" w:left="1531" w:header="851" w:footer="1588" w:gutter="0"/>
          <w:cols w:space="720" w:num="1"/>
          <w:docGrid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2024年度项目支出绩效自评表</w:t>
      </w:r>
    </w:p>
    <w:tbl>
      <w:tblPr>
        <w:tblStyle w:val="22"/>
        <w:tblW w:w="9839" w:type="dxa"/>
        <w:jc w:val="center"/>
        <w:tblLayout w:type="autofit"/>
        <w:tblCellMar>
          <w:top w:w="0" w:type="dxa"/>
          <w:left w:w="108" w:type="dxa"/>
          <w:bottom w:w="0" w:type="dxa"/>
          <w:right w:w="108" w:type="dxa"/>
        </w:tblCellMar>
      </w:tblPr>
      <w:tblGrid>
        <w:gridCol w:w="1077"/>
        <w:gridCol w:w="1077"/>
        <w:gridCol w:w="1079"/>
        <w:gridCol w:w="1222"/>
        <w:gridCol w:w="1135"/>
        <w:gridCol w:w="1132"/>
        <w:gridCol w:w="826"/>
        <w:gridCol w:w="871"/>
        <w:gridCol w:w="1420"/>
      </w:tblGrid>
      <w:tr>
        <w:tblPrEx>
          <w:tblCellMar>
            <w:top w:w="0" w:type="dxa"/>
            <w:left w:w="108" w:type="dxa"/>
            <w:bottom w:w="0" w:type="dxa"/>
            <w:right w:w="108" w:type="dxa"/>
          </w:tblCellMar>
        </w:tblPrEx>
        <w:trPr>
          <w:trHeight w:val="582"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62"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工信系统相关专家核查经费</w:t>
            </w:r>
          </w:p>
        </w:tc>
      </w:tr>
      <w:tr>
        <w:tblPrEx>
          <w:tblCellMar>
            <w:top w:w="0" w:type="dxa"/>
            <w:left w:w="108" w:type="dxa"/>
            <w:bottom w:w="0" w:type="dxa"/>
            <w:right w:w="108" w:type="dxa"/>
          </w:tblCellMar>
        </w:tblPrEx>
        <w:trPr>
          <w:trHeight w:val="398" w:hRule="atLeast"/>
          <w:jc w:val="center"/>
        </w:trPr>
        <w:tc>
          <w:tcPr>
            <w:tcW w:w="107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3"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株洲市工业和信息化局</w:t>
            </w:r>
          </w:p>
        </w:tc>
        <w:tc>
          <w:tcPr>
            <w:tcW w:w="1132"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7"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株洲市工业和信息化局</w:t>
            </w:r>
            <w:r>
              <w:rPr>
                <w:rFonts w:hint="eastAsia" w:ascii="Times New Roman" w:hAnsi="Times New Roman" w:eastAsia="仿宋_GB2312" w:cs="Times New Roman"/>
                <w:color w:val="000000"/>
                <w:sz w:val="20"/>
                <w:szCs w:val="20"/>
                <w:lang w:val="en-US" w:eastAsia="zh-CN"/>
              </w:rPr>
              <w:t>机关</w:t>
            </w:r>
          </w:p>
        </w:tc>
      </w:tr>
      <w:tr>
        <w:tblPrEx>
          <w:tblCellMar>
            <w:top w:w="0" w:type="dxa"/>
            <w:left w:w="108" w:type="dxa"/>
            <w:bottom w:w="0" w:type="dxa"/>
            <w:right w:w="108" w:type="dxa"/>
          </w:tblCellMar>
        </w:tblPrEx>
        <w:trPr>
          <w:trHeight w:val="554"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2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357"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7.03</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7.03</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r>
      <w:tr>
        <w:tblPrEx>
          <w:tblCellMar>
            <w:top w:w="0" w:type="dxa"/>
            <w:left w:w="108" w:type="dxa"/>
            <w:bottom w:w="0" w:type="dxa"/>
            <w:right w:w="108" w:type="dxa"/>
          </w:tblCellMar>
        </w:tblPrEx>
        <w:trPr>
          <w:trHeight w:val="342"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7.03</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7.03</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trHeight w:val="547"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1018"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控制资金使用不超过预算的20万元</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开展评审场次大于等于2次</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lang w:val="en-US" w:eastAsia="zh-CN"/>
              </w:rPr>
              <w:t>争取400个以上项目纳入纳入工信部工业领域设备更新和技术改造专项再贷款项目库</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做好自愿性清洁生产审核工作</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资金使用不超过预算</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开展评审场</w:t>
            </w:r>
            <w:r>
              <w:rPr>
                <w:rFonts w:hint="default" w:ascii="Times New Roman" w:hAnsi="Times New Roman" w:eastAsia="仿宋_GB2312" w:cs="Times New Roman"/>
                <w:color w:val="000000"/>
                <w:sz w:val="20"/>
                <w:szCs w:val="20"/>
                <w:lang w:val="en-US" w:eastAsia="zh-CN"/>
              </w:rPr>
              <w:t>3场</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lang w:val="en-US" w:eastAsia="zh-CN"/>
              </w:rPr>
              <w:t>495家企业纳入工信部工业领域设备更新和技术改造专项再贷款项目库</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lang w:val="en-US" w:eastAsia="zh-CN"/>
              </w:rPr>
              <w:t>实施清洁生产审核企业数52家</w:t>
            </w:r>
          </w:p>
        </w:tc>
      </w:tr>
      <w:tr>
        <w:tblPrEx>
          <w:tblCellMar>
            <w:top w:w="0" w:type="dxa"/>
            <w:left w:w="108" w:type="dxa"/>
            <w:bottom w:w="0" w:type="dxa"/>
            <w:right w:w="108" w:type="dxa"/>
          </w:tblCellMar>
        </w:tblPrEx>
        <w:trPr>
          <w:trHeight w:val="588" w:hRule="atLeast"/>
          <w:jc w:val="center"/>
        </w:trPr>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及改进措施</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40分</w:t>
            </w:r>
            <w:r>
              <w:rPr>
                <w:rFonts w:hint="default" w:ascii="Times New Roman" w:hAnsi="Times New Roman" w:eastAsia="仿宋_GB2312" w:cs="Times New Roman"/>
                <w:color w:val="000000"/>
                <w:sz w:val="20"/>
                <w:szCs w:val="20"/>
                <w:lang w:eastAsia="zh-CN"/>
              </w:rPr>
              <w:t>）</w:t>
            </w:r>
          </w:p>
        </w:tc>
        <w:tc>
          <w:tcPr>
            <w:tcW w:w="107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开展专家评审场次</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lang w:val="en-US" w:eastAsia="zh-CN"/>
              </w:rPr>
              <w:t>2场</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3场</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eastAsia="zh-CN"/>
              </w:rPr>
            </w:pPr>
          </w:p>
        </w:tc>
        <w:tc>
          <w:tcPr>
            <w:tcW w:w="107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获评第一批湖南省工业企业设备更新和技术改造融资补贴拟支持项目数</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10个</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16个</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5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工业</w:t>
            </w:r>
            <w:r>
              <w:rPr>
                <w:rFonts w:hint="eastAsia" w:ascii="Times New Roman" w:hAnsi="Times New Roman" w:eastAsia="仿宋_GB2312" w:cs="Times New Roman"/>
                <w:color w:val="000000"/>
                <w:sz w:val="20"/>
                <w:szCs w:val="20"/>
                <w:lang w:val="en-US" w:eastAsia="zh-CN"/>
              </w:rPr>
              <w:t>技改</w:t>
            </w:r>
            <w:r>
              <w:rPr>
                <w:rFonts w:hint="default" w:ascii="Times New Roman" w:hAnsi="Times New Roman" w:eastAsia="仿宋_GB2312" w:cs="Times New Roman"/>
                <w:color w:val="000000"/>
                <w:sz w:val="20"/>
                <w:szCs w:val="20"/>
              </w:rPr>
              <w:t>投资增速</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东文宋体" w:cs="Times New Roman"/>
                <w:color w:val="000000"/>
                <w:sz w:val="20"/>
                <w:szCs w:val="20"/>
              </w:rPr>
              <w:t>≥</w:t>
            </w:r>
            <w:r>
              <w:rPr>
                <w:rFonts w:hint="eastAsia" w:ascii="Times New Roman" w:hAnsi="Times New Roman" w:eastAsia="东文宋体" w:cs="Times New Roman"/>
                <w:color w:val="000000"/>
                <w:sz w:val="20"/>
                <w:szCs w:val="20"/>
                <w:lang w:val="en-US" w:eastAsia="zh-CN"/>
              </w:rPr>
              <w:t>2</w:t>
            </w:r>
            <w:r>
              <w:rPr>
                <w:rFonts w:hint="default"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3.6%</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工业投资增速</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东文宋体" w:cs="Times New Roman"/>
                <w:color w:val="000000"/>
                <w:sz w:val="20"/>
                <w:szCs w:val="20"/>
              </w:rPr>
              <w:t>≥</w:t>
            </w:r>
            <w:r>
              <w:rPr>
                <w:rFonts w:hint="default" w:ascii="Times New Roman" w:hAnsi="Times New Roman" w:eastAsia="仿宋_GB2312" w:cs="Times New Roman"/>
                <w:color w:val="000000"/>
                <w:sz w:val="20"/>
                <w:szCs w:val="20"/>
                <w:lang w:val="en-US" w:eastAsia="zh-CN"/>
              </w:rPr>
              <w:t>5%</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10.2%</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纳入工信部工业领域设备更新和技术改造专项再贷款项目库项目数</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lang w:val="en-US" w:eastAsia="zh-CN"/>
              </w:rPr>
              <w:t>400个</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495个</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实施清洁生产审核企业数</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lang w:val="en-US" w:eastAsia="zh-CN"/>
              </w:rPr>
              <w:t>50家</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52家</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1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服务对象满意度</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控制成本不超过20万元</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r>
              <w:rPr>
                <w:rFonts w:hint="default" w:ascii="Times New Roman" w:hAnsi="Times New Roman" w:eastAsia="仿宋_GB2312" w:cs="Times New Roman"/>
                <w:color w:val="000000"/>
                <w:sz w:val="20"/>
                <w:szCs w:val="20"/>
                <w:highlight w:val="none"/>
                <w:lang w:eastAsia="zh-CN"/>
              </w:rPr>
              <w:t>万元</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7.03</w:t>
            </w:r>
            <w:r>
              <w:rPr>
                <w:rFonts w:hint="default" w:ascii="Times New Roman" w:hAnsi="Times New Roman" w:eastAsia="仿宋_GB2312" w:cs="Times New Roman"/>
                <w:color w:val="000000"/>
                <w:sz w:val="20"/>
                <w:szCs w:val="20"/>
                <w:highlight w:val="none"/>
                <w:lang w:eastAsia="zh-CN"/>
              </w:rPr>
              <w:t>万元</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07" w:hRule="atLeast"/>
          <w:jc w:val="center"/>
        </w:trPr>
        <w:tc>
          <w:tcPr>
            <w:tcW w:w="6722"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r>
    </w:tbl>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cs="Times New Roman"/>
          <w:color w:val="000000"/>
          <w:kern w:val="0"/>
          <w:sz w:val="41"/>
          <w:szCs w:val="41"/>
          <w:lang w:val="en-US" w:eastAsia="zh-CN" w:bidi="ar"/>
        </w:rPr>
      </w:pPr>
      <w:r>
        <w:rPr>
          <w:rFonts w:hint="default" w:ascii="Times New Roman" w:hAnsi="Times New Roman" w:eastAsia="仿宋_GB2312" w:cs="Times New Roman"/>
          <w:sz w:val="28"/>
          <w:szCs w:val="28"/>
        </w:rPr>
        <w:br w:type="page"/>
      </w:r>
      <w:r>
        <w:rPr>
          <w:rFonts w:hint="eastAsia" w:ascii="Times New Roman" w:hAnsi="Times New Roman" w:eastAsia="方正小标宋简体" w:cs="Times New Roman"/>
          <w:color w:val="000000"/>
          <w:kern w:val="0"/>
          <w:sz w:val="41"/>
          <w:szCs w:val="41"/>
          <w:lang w:val="en-US" w:eastAsia="zh-CN" w:bidi="ar"/>
        </w:rPr>
        <w:t>中央无线电管理经费</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1"/>
          <w:szCs w:val="41"/>
          <w:lang w:val="en-US" w:eastAsia="zh-CN" w:bidi="ar"/>
        </w:rPr>
        <w:t>绩效自评报告</w:t>
      </w:r>
    </w:p>
    <w:p>
      <w:pPr>
        <w:pStyle w:val="32"/>
        <w:keepNext w:val="0"/>
        <w:keepLines w:val="0"/>
        <w:pageBreakBefore w:val="0"/>
        <w:widowControl w:val="0"/>
        <w:kinsoku/>
        <w:wordWrap/>
        <w:overflowPunct/>
        <w:topLinePunct w:val="0"/>
        <w:autoSpaceDE/>
        <w:autoSpaceDN/>
        <w:bidi w:val="0"/>
        <w:spacing w:after="0" w:line="578" w:lineRule="exact"/>
        <w:jc w:val="center"/>
        <w:textAlignment w:val="auto"/>
        <w:rPr>
          <w:rFonts w:hint="default" w:ascii="Times New Roman" w:hAnsi="Times New Roman" w:cs="Times New Roman"/>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一、预算收支情况</w:t>
      </w:r>
      <w:r>
        <w:rPr>
          <w:rFonts w:hint="default" w:ascii="Times New Roman" w:hAnsi="Times New Roman" w:eastAsia="楷体" w:cs="Times New Roman"/>
          <w:b/>
          <w:bCs/>
          <w:color w:val="000000"/>
          <w:kern w:val="0"/>
          <w:sz w:val="31"/>
          <w:szCs w:val="31"/>
          <w:lang w:val="en-US" w:eastAsia="zh-CN" w:bidi="ar"/>
        </w:rPr>
        <w:t xml:space="preserve"> </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1"/>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0"/>
          <w:sz w:val="32"/>
          <w:szCs w:val="32"/>
          <w:highlight w:val="none"/>
          <w:lang w:bidi="ar"/>
        </w:rPr>
        <w:t>2024年预算</w:t>
      </w:r>
      <w:r>
        <w:rPr>
          <w:rFonts w:hint="eastAsia" w:ascii="Times New Roman" w:hAnsi="Times New Roman" w:eastAsia="仿宋_GB2312" w:cs="Times New Roman"/>
          <w:sz w:val="32"/>
          <w:szCs w:val="32"/>
          <w:lang w:val="en-US" w:eastAsia="zh-CN"/>
        </w:rPr>
        <w:t>78.16</w:t>
      </w:r>
      <w:r>
        <w:rPr>
          <w:rFonts w:hint="default" w:ascii="Times New Roman" w:hAnsi="Times New Roman" w:eastAsia="仿宋_GB2312" w:cs="Times New Roman"/>
          <w:b w:val="0"/>
          <w:bCs w:val="0"/>
          <w:color w:val="000000"/>
          <w:kern w:val="0"/>
          <w:sz w:val="32"/>
          <w:szCs w:val="32"/>
          <w:highlight w:val="none"/>
          <w:lang w:bidi="ar"/>
        </w:rPr>
        <w:t>万元，其中年初预算</w:t>
      </w:r>
      <w:r>
        <w:rPr>
          <w:rFonts w:hint="eastAsia" w:ascii="Times New Roman" w:hAnsi="Times New Roman" w:eastAsia="仿宋_GB2312" w:cs="Times New Roman"/>
          <w:b w:val="0"/>
          <w:bCs w:val="0"/>
          <w:color w:val="000000"/>
          <w:kern w:val="0"/>
          <w:sz w:val="32"/>
          <w:szCs w:val="32"/>
          <w:highlight w:val="none"/>
          <w:lang w:val="en-US" w:eastAsia="zh-CN" w:bidi="ar"/>
        </w:rPr>
        <w:t>119.64</w:t>
      </w:r>
      <w:r>
        <w:rPr>
          <w:rFonts w:hint="default" w:ascii="Times New Roman" w:hAnsi="Times New Roman" w:eastAsia="仿宋_GB2312" w:cs="Times New Roman"/>
          <w:b w:val="0"/>
          <w:bCs w:val="0"/>
          <w:color w:val="000000"/>
          <w:kern w:val="0"/>
          <w:sz w:val="32"/>
          <w:szCs w:val="32"/>
          <w:highlight w:val="none"/>
          <w:lang w:bidi="ar"/>
        </w:rPr>
        <w:t>万元，实际支出</w:t>
      </w:r>
      <w:r>
        <w:rPr>
          <w:rFonts w:hint="eastAsia" w:ascii="Times New Roman" w:hAnsi="Times New Roman" w:eastAsia="仿宋_GB2312" w:cs="Times New Roman"/>
          <w:b w:val="0"/>
          <w:bCs w:val="0"/>
          <w:color w:val="000000"/>
          <w:kern w:val="0"/>
          <w:sz w:val="32"/>
          <w:szCs w:val="32"/>
          <w:highlight w:val="none"/>
          <w:lang w:val="en-US" w:eastAsia="zh-CN" w:bidi="ar"/>
        </w:rPr>
        <w:t>78.16</w:t>
      </w:r>
      <w:r>
        <w:rPr>
          <w:rFonts w:hint="default" w:ascii="Times New Roman" w:hAnsi="Times New Roman" w:eastAsia="仿宋_GB2312" w:cs="Times New Roman"/>
          <w:b w:val="0"/>
          <w:bCs w:val="0"/>
          <w:color w:val="000000"/>
          <w:kern w:val="0"/>
          <w:sz w:val="32"/>
          <w:szCs w:val="32"/>
          <w:highlight w:val="none"/>
          <w:lang w:bidi="ar"/>
        </w:rPr>
        <w:t xml:space="preserve">万元。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 xml:space="preserve">二、项目支出绩效情况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产出数量</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坚持定期运维。</w:t>
      </w:r>
      <w:r>
        <w:rPr>
          <w:rFonts w:hint="default" w:ascii="Times New Roman" w:hAnsi="Times New Roman" w:eastAsia="仿宋_GB2312" w:cs="Times New Roman"/>
          <w:kern w:val="2"/>
          <w:sz w:val="32"/>
          <w:szCs w:val="32"/>
          <w:lang w:val="en-US" w:eastAsia="zh-CN" w:bidi="ar-SA"/>
        </w:rPr>
        <w:t>按照技术设施管理使用要求，坚持每月定期巡检一次固定监测站，全年累计巡检12次，出动维护人数40人次，并做好现场巡检记录；我单位租赁中国电信株洲分公司提供的网络专线4条（其中专线3条，外网线1条），分别联通中心控制机房与荷塘固定监测站、天元固定监测站和芦淞固定监测站等。</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color w:val="auto"/>
          <w:sz w:val="32"/>
          <w:szCs w:val="32"/>
          <w:lang w:val="en-US" w:eastAsia="zh-CN"/>
        </w:rPr>
        <w:t>健全保障机制。</w:t>
      </w:r>
      <w:r>
        <w:rPr>
          <w:rFonts w:hint="default" w:ascii="Times New Roman" w:hAnsi="Times New Roman" w:eastAsia="仿宋_GB2312" w:cs="Times New Roman"/>
          <w:color w:val="auto"/>
          <w:sz w:val="32"/>
          <w:szCs w:val="32"/>
          <w:lang w:val="en-US" w:eastAsia="zh-CN"/>
        </w:rPr>
        <w:t>制订各类无线电保障工作方案，严格落实监测值班制度。</w:t>
      </w:r>
      <w:r>
        <w:rPr>
          <w:rFonts w:hint="default" w:ascii="Times New Roman" w:hAnsi="Times New Roman" w:eastAsia="仿宋_GB2312" w:cs="Times New Roman"/>
          <w:kern w:val="2"/>
          <w:sz w:val="32"/>
          <w:szCs w:val="32"/>
          <w:lang w:val="en-US" w:eastAsia="zh-CN" w:bidi="ar-SA"/>
        </w:rPr>
        <w:t>在</w:t>
      </w:r>
      <w:r>
        <w:rPr>
          <w:rFonts w:hint="default" w:ascii="Times New Roman" w:hAnsi="Times New Roman" w:eastAsia="仿宋_GB2312" w:cs="Times New Roman"/>
          <w:color w:val="auto"/>
          <w:sz w:val="32"/>
          <w:szCs w:val="32"/>
          <w:lang w:val="en-US" w:eastAsia="zh-CN"/>
        </w:rPr>
        <w:t>“全国、全省两会”“重大考试”“春节”“国庆”“株洲市马拉松”“北斗峰会”等期间</w:t>
      </w:r>
      <w:r>
        <w:rPr>
          <w:rFonts w:hint="default" w:ascii="Times New Roman" w:hAnsi="Times New Roman" w:eastAsia="仿宋_GB2312" w:cs="Times New Roman"/>
          <w:kern w:val="2"/>
          <w:sz w:val="32"/>
          <w:szCs w:val="32"/>
          <w:lang w:val="en-US" w:eastAsia="zh-CN" w:bidi="ar-SA"/>
        </w:rPr>
        <w:t>对重点频段、重要业务安排了24小时监测值班，并成立了</w:t>
      </w:r>
      <w:r>
        <w:rPr>
          <w:rFonts w:hint="default" w:ascii="Times New Roman" w:hAnsi="Times New Roman" w:eastAsia="仿宋_GB2312" w:cs="Times New Roman"/>
          <w:color w:val="auto"/>
          <w:sz w:val="32"/>
          <w:szCs w:val="32"/>
          <w:lang w:val="en-US" w:eastAsia="zh-CN"/>
        </w:rPr>
        <w:t>应急机动保障分队</w:t>
      </w:r>
      <w:r>
        <w:rPr>
          <w:rFonts w:hint="default" w:ascii="Times New Roman" w:hAnsi="Times New Roman" w:eastAsia="仿宋_GB2312" w:cs="Times New Roman"/>
          <w:kern w:val="2"/>
          <w:sz w:val="32"/>
          <w:szCs w:val="32"/>
          <w:lang w:val="en-US" w:eastAsia="zh-CN" w:bidi="ar-SA"/>
        </w:rPr>
        <w:t>。同时，积极做好各类考试中的无线电安全保障工作。全年共计完成高考、全国会计资格考试、司法考试等各类考试保障24次，累计出动人员512人次、车辆109台次，设备262台（套），有效防范了利用无线电设备进行考试作弊的行为，威慑了心存侥幸的不法分子，维护了考试的公平公正。</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强化专项监管。</w:t>
      </w:r>
      <w:r>
        <w:rPr>
          <w:rFonts w:hint="default" w:ascii="Times New Roman" w:hAnsi="Times New Roman" w:eastAsia="仿宋_GB2312" w:cs="Times New Roman"/>
          <w:kern w:val="2"/>
          <w:sz w:val="32"/>
          <w:szCs w:val="32"/>
          <w:lang w:val="en-US" w:eastAsia="zh-CN" w:bidi="ar-SA"/>
        </w:rPr>
        <w:t>严格按照国省无线电管理机构下发的无线电监测任务，坚持固定监测与移动监测相结合，日常监测与重点监测相结合，严格落实“定点、定线、定片、定时、定岗和定内容”的六定监测工作机制，积极开展日常监测监听工作，及时做好监测数据分析，全面掌握重点频段使用情况和电磁环境的变化态势，为稽查违章设台提供目标，为行政执法工作提供依据。2024年累计监测3万多小时，按时向省办报送监测工作月报，全年没有发生因监测设备故障未及时处理，而不能连接省无线电管理一体化平台的现象。</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开展业务培训。</w:t>
      </w:r>
      <w:r>
        <w:rPr>
          <w:rFonts w:hint="default" w:ascii="Times New Roman" w:hAnsi="Times New Roman" w:eastAsia="仿宋_GB2312" w:cs="Times New Roman"/>
          <w:kern w:val="2"/>
          <w:sz w:val="32"/>
          <w:szCs w:val="32"/>
          <w:lang w:val="en-US" w:eastAsia="zh-CN" w:bidi="ar-SA"/>
        </w:rPr>
        <w:t>为全面提升我市无线电管理业务水平制定并上报了2024年度业务培训计划，组织业务培训5次，开展技术演练2次，积极参加国、省业务技能培训5次，参加全省联合技术演练1次。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）产出质量</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设备运维方面。</w:t>
      </w:r>
      <w:r>
        <w:rPr>
          <w:rFonts w:hint="default" w:ascii="Times New Roman" w:hAnsi="Times New Roman" w:eastAsia="仿宋_GB2312" w:cs="Times New Roman"/>
          <w:kern w:val="2"/>
          <w:sz w:val="32"/>
          <w:szCs w:val="32"/>
          <w:lang w:val="en-US" w:eastAsia="zh-CN" w:bidi="ar-SA"/>
        </w:rPr>
        <w:t>当前可正常使用的技术设备数量，设备完好率为100%。</w:t>
      </w:r>
    </w:p>
    <w:p>
      <w:pPr>
        <w:pStyle w:val="13"/>
        <w:keepNext w:val="0"/>
        <w:keepLines w:val="0"/>
        <w:pageBreakBefore w:val="0"/>
        <w:widowControl w:val="0"/>
        <w:kinsoku/>
        <w:wordWrap/>
        <w:overflowPunct/>
        <w:topLinePunct w:val="0"/>
        <w:autoSpaceDE/>
        <w:autoSpaceDN/>
        <w:bidi w:val="0"/>
        <w:adjustRightInd/>
        <w:spacing w:beforeAutospacing="0" w:line="578" w:lineRule="exact"/>
        <w:ind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lang w:val="en-US" w:eastAsia="zh-CN" w:bidi="ar-SA"/>
        </w:rPr>
        <w:t>2</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专项监管方面。一是开展专项行动。</w:t>
      </w:r>
      <w:r>
        <w:rPr>
          <w:rFonts w:hint="default" w:ascii="Times New Roman" w:hAnsi="Times New Roman" w:eastAsia="仿宋_GB2312" w:cs="Times New Roman"/>
          <w:color w:val="auto"/>
          <w:spacing w:val="0"/>
          <w:kern w:val="2"/>
          <w:sz w:val="32"/>
          <w:szCs w:val="32"/>
          <w:lang w:val="en-US" w:eastAsia="zh-CN" w:bidi="ar-SA"/>
        </w:rPr>
        <w:t>4月、9月，先后开展集中打击治理“黑广播”“伪基站”“GoIP诈骗”违法犯罪专项行动，累计出动人员216人次，移动监测车76车次，累计监测205小时（含固定监测及移动监测扫描时长），依法查处黑广播案件1起，查处设置在炎陵县霞阳镇政府楼顶的92.3MHz“村村响”广播信号1起。通过连续多年多次集中治理打击，辖区内“黑广播”“伪基站”违法现象呈逐年下降态势，打击治理工作成效明显。</w:t>
      </w:r>
      <w:r>
        <w:rPr>
          <w:rFonts w:hint="default" w:ascii="Times New Roman" w:hAnsi="Times New Roman" w:eastAsia="仿宋_GB2312" w:cs="Times New Roman"/>
          <w:b/>
          <w:bCs/>
          <w:sz w:val="32"/>
          <w:szCs w:val="32"/>
          <w:lang w:val="en-US" w:eastAsia="zh-CN"/>
        </w:rPr>
        <w:t>二是及时查处干扰。</w:t>
      </w:r>
      <w:r>
        <w:rPr>
          <w:rFonts w:hint="default" w:ascii="Times New Roman" w:hAnsi="Times New Roman" w:eastAsia="仿宋_GB2312" w:cs="Times New Roman"/>
          <w:color w:val="auto"/>
          <w:spacing w:val="0"/>
          <w:kern w:val="2"/>
          <w:sz w:val="32"/>
          <w:szCs w:val="32"/>
          <w:lang w:val="en-US" w:eastAsia="zh-CN" w:bidi="ar-SA"/>
        </w:rPr>
        <w:t>通过日常宣传、散发宣传资料等方式，及时</w:t>
      </w:r>
      <w:r>
        <w:rPr>
          <w:rFonts w:hint="default" w:ascii="Times New Roman" w:hAnsi="Times New Roman" w:eastAsia="仿宋_GB2312" w:cs="Times New Roman"/>
          <w:spacing w:val="0"/>
          <w:kern w:val="2"/>
          <w:sz w:val="32"/>
          <w:szCs w:val="32"/>
          <w:lang w:val="en-US" w:eastAsia="zh-CN" w:bidi="ar-SA"/>
        </w:rPr>
        <w:t>公布无线电干扰受理投诉网址及电话，及时排查、处理了全市辖区内的各类无线电干扰投诉。全年累计排查无线电干扰12起，其中民航GPS受干扰事件1起，“黑广播”干扰案件1起，铁路射频设备干扰联通基站信号3起，无线电话筒干扰公众移动通信基站2起，信号放大器干扰电信基站1起，摄像头干扰电信基站1起，WIFI干扰3起。全市辖区内干扰投诉查处率100%，投诉处理形成闭环，查处过程记录完整并及时反馈干扰排查结果。</w:t>
      </w:r>
      <w:r>
        <w:rPr>
          <w:rFonts w:hint="default" w:ascii="Times New Roman" w:hAnsi="Times New Roman" w:eastAsia="仿宋_GB2312" w:cs="Times New Roman"/>
          <w:sz w:val="32"/>
          <w:szCs w:val="32"/>
          <w:lang w:val="en-US" w:eastAsia="zh-CN"/>
        </w:rPr>
        <w:t>同时，各类考试保障中，及时压制非法信号，考试保障干扰处理率达100%。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（三）产出时效</w:t>
      </w:r>
    </w:p>
    <w:p>
      <w:pPr>
        <w:pStyle w:val="5"/>
        <w:keepNext w:val="0"/>
        <w:keepLines w:val="0"/>
        <w:pageBreakBefore w:val="0"/>
        <w:widowControl w:val="0"/>
        <w:kinsoku/>
        <w:wordWrap/>
        <w:overflowPunct/>
        <w:topLinePunct w:val="0"/>
        <w:autoSpaceDE/>
        <w:autoSpaceDN/>
        <w:bidi w:val="0"/>
        <w:adjustRightInd/>
        <w:spacing w:line="578" w:lineRule="exact"/>
        <w:ind w:left="0" w:leftChars="0"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i w:val="0"/>
          <w:iCs w:val="0"/>
          <w:color w:val="auto"/>
          <w:kern w:val="0"/>
          <w:sz w:val="32"/>
          <w:szCs w:val="32"/>
          <w:u w:val="none"/>
          <w:lang w:val="en-US" w:eastAsia="zh-CN" w:bidi="ar"/>
        </w:rPr>
        <w:t>一是坚持巡检制度。</w:t>
      </w:r>
      <w:r>
        <w:rPr>
          <w:rFonts w:hint="default" w:ascii="Times New Roman" w:hAnsi="Times New Roman" w:eastAsia="仿宋_GB2312" w:cs="Times New Roman"/>
          <w:color w:val="auto"/>
          <w:sz w:val="32"/>
          <w:szCs w:val="32"/>
          <w:lang w:val="en-US" w:eastAsia="zh-CN"/>
        </w:rPr>
        <w:t>严格落实巡检工作制度，每月对全市各固定站、监测机房等技术设施进行检查维护，并建立工作台账，对发现的设备设施故障及时上报，并按规定程序检修。</w:t>
      </w:r>
      <w:r>
        <w:rPr>
          <w:rFonts w:hint="default" w:ascii="Times New Roman" w:hAnsi="Times New Roman" w:eastAsia="仿宋_GB2312" w:cs="Times New Roman"/>
          <w:color w:val="auto"/>
          <w:spacing w:val="0"/>
          <w:sz w:val="32"/>
          <w:szCs w:val="32"/>
          <w:lang w:val="en-US" w:eastAsia="zh-CN"/>
        </w:rPr>
        <w:t>先后投入经费近80余万元，进行升级改造移动监测站电源系统、便携式无线电监测测向系统升级等技术设备设施，定期开展技术设施日常运行维护，确保无线电管理基础和技术设备设施始终处于良好工作状态。</w:t>
      </w:r>
      <w:r>
        <w:rPr>
          <w:rFonts w:hint="default" w:ascii="Times New Roman" w:hAnsi="Times New Roman" w:eastAsia="仿宋_GB2312" w:cs="Times New Roman"/>
          <w:b/>
          <w:bCs/>
          <w:i w:val="0"/>
          <w:iCs w:val="0"/>
          <w:color w:val="auto"/>
          <w:spacing w:val="0"/>
          <w:kern w:val="0"/>
          <w:sz w:val="32"/>
          <w:szCs w:val="32"/>
          <w:u w:val="none"/>
          <w:lang w:val="en-US" w:eastAsia="zh-CN" w:bidi="ar"/>
        </w:rPr>
        <w:t>二是开展安全隐患专项排查。</w:t>
      </w:r>
      <w:r>
        <w:rPr>
          <w:rFonts w:hint="default" w:ascii="Times New Roman" w:hAnsi="Times New Roman" w:eastAsia="仿宋_GB2312" w:cs="Times New Roman"/>
          <w:color w:val="auto"/>
          <w:spacing w:val="0"/>
          <w:sz w:val="32"/>
          <w:szCs w:val="32"/>
          <w:lang w:val="en-US" w:eastAsia="zh-CN"/>
        </w:rPr>
        <w:t>根据省工信厅</w:t>
      </w:r>
      <w:r>
        <w:rPr>
          <w:rFonts w:hint="default" w:ascii="Times New Roman" w:hAnsi="Times New Roman" w:eastAsia="仿宋_GB2312" w:cs="Times New Roman"/>
          <w:spacing w:val="0"/>
          <w:sz w:val="32"/>
          <w:szCs w:val="32"/>
          <w:lang w:val="en-US" w:eastAsia="zh-CN"/>
        </w:rPr>
        <w:t>《关于开展全省无线电管理监测技术设施安全隐患排查整改工作的通知》等文件精神，制订工作方案，成立工作专班，明确责任主体，联合安全生产专家，扎实做好技术设备安全隐患排查整改工作，并建立问题清单，逐项落实销号,实现风险隐患清零。目前，对于渌口站周边杂草及部分站点警示标志悬挂不到位、二氧化碳灭火器配备不到位等安全隐患问题，</w:t>
      </w:r>
      <w:r>
        <w:rPr>
          <w:rFonts w:hint="default" w:ascii="Times New Roman" w:hAnsi="Times New Roman" w:eastAsia="仿宋_GB2312" w:cs="Times New Roman"/>
          <w:color w:val="auto"/>
          <w:spacing w:val="0"/>
          <w:sz w:val="32"/>
          <w:szCs w:val="32"/>
          <w:lang w:val="en-US" w:eastAsia="zh-CN"/>
        </w:rPr>
        <w:t>及时按要求进行了整改。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（四）项目效益情况</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left"/>
        <w:textAlignment w:val="auto"/>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1</w:t>
      </w:r>
      <w:r>
        <w:rPr>
          <w:rFonts w:hint="eastAsia"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b/>
          <w:bCs/>
          <w:color w:val="auto"/>
          <w:kern w:val="2"/>
          <w:sz w:val="32"/>
          <w:szCs w:val="32"/>
          <w:lang w:val="en-US" w:eastAsia="zh-CN" w:bidi="ar-SA"/>
        </w:rPr>
        <w:t>社会效益</w:t>
      </w:r>
      <w:r>
        <w:rPr>
          <w:rFonts w:hint="eastAsia" w:ascii="Times New Roman" w:hAnsi="Times New Roman" w:eastAsia="仿宋_GB2312" w:cs="Times New Roman"/>
          <w:b/>
          <w:bCs/>
          <w:color w:val="auto"/>
          <w:kern w:val="2"/>
          <w:sz w:val="32"/>
          <w:szCs w:val="32"/>
          <w:lang w:val="en-US" w:eastAsia="zh-CN" w:bidi="ar-SA"/>
        </w:rPr>
        <w:t>。</w:t>
      </w:r>
    </w:p>
    <w:p>
      <w:pPr>
        <w:pStyle w:val="13"/>
        <w:keepNext w:val="0"/>
        <w:keepLines w:val="0"/>
        <w:pageBreakBefore w:val="0"/>
        <w:widowControl w:val="0"/>
        <w:kinsoku/>
        <w:wordWrap/>
        <w:overflowPunct/>
        <w:topLinePunct w:val="0"/>
        <w:autoSpaceDE/>
        <w:autoSpaceDN/>
        <w:bidi w:val="0"/>
        <w:adjustRightInd/>
        <w:spacing w:beforeAutospacing="0" w:line="578" w:lineRule="exact"/>
        <w:ind w:firstLine="642" w:firstLineChars="200"/>
        <w:jc w:val="both"/>
        <w:textAlignment w:val="auto"/>
        <w:rPr>
          <w:rFonts w:hint="default" w:ascii="Times New Roman" w:hAnsi="Times New Roman" w:eastAsia="仿宋_GB2312" w:cs="Times New Roman"/>
          <w:i w:val="0"/>
          <w:iCs w:val="0"/>
          <w:spacing w:val="0"/>
          <w:kern w:val="2"/>
          <w:sz w:val="32"/>
          <w:szCs w:val="32"/>
          <w:lang w:val="en-US" w:eastAsia="zh-CN" w:bidi="ar-SA"/>
        </w:rPr>
      </w:pPr>
      <w:r>
        <w:rPr>
          <w:rFonts w:hint="default" w:ascii="Times New Roman" w:hAnsi="Times New Roman" w:eastAsia="仿宋_GB2312" w:cs="Times New Roman"/>
          <w:b/>
          <w:bCs/>
          <w:i w:val="0"/>
          <w:iCs w:val="0"/>
          <w:color w:val="auto"/>
          <w:spacing w:val="0"/>
          <w:kern w:val="0"/>
          <w:sz w:val="32"/>
          <w:szCs w:val="32"/>
          <w:u w:val="none"/>
          <w:lang w:val="en-US" w:eastAsia="zh-CN" w:bidi="ar"/>
        </w:rPr>
        <w:t>一是无线电频率使用和在用无线电台（站）监督检查情况。</w:t>
      </w:r>
      <w:r>
        <w:rPr>
          <w:rFonts w:hint="default" w:ascii="Times New Roman" w:hAnsi="Times New Roman" w:eastAsia="仿宋_GB2312" w:cs="Times New Roman"/>
          <w:b/>
          <w:bCs/>
          <w:color w:val="auto"/>
          <w:spacing w:val="0"/>
          <w:kern w:val="2"/>
          <w:sz w:val="32"/>
          <w:szCs w:val="32"/>
          <w:lang w:val="en-US" w:eastAsia="zh-CN" w:bidi="ar-SA"/>
        </w:rPr>
        <w:t>一是制订工作方案。</w:t>
      </w:r>
      <w:r>
        <w:rPr>
          <w:rFonts w:hint="default" w:ascii="Times New Roman" w:hAnsi="Times New Roman" w:eastAsia="仿宋_GB2312" w:cs="Times New Roman"/>
          <w:color w:val="auto"/>
          <w:spacing w:val="0"/>
          <w:kern w:val="2"/>
          <w:sz w:val="32"/>
          <w:szCs w:val="32"/>
          <w:lang w:val="en-US" w:eastAsia="zh-CN" w:bidi="ar-SA"/>
        </w:rPr>
        <w:t>制订印发《2024年度株洲市无线电管理领域行政检查工作方案》、《</w:t>
      </w:r>
      <w:r>
        <w:rPr>
          <w:rFonts w:hint="default" w:ascii="Times New Roman" w:hAnsi="Times New Roman" w:eastAsia="仿宋_GB2312" w:cs="Times New Roman"/>
          <w:color w:val="auto"/>
          <w:spacing w:val="0"/>
          <w:sz w:val="32"/>
          <w:szCs w:val="32"/>
          <w:lang w:val="en-US" w:eastAsia="zh-CN"/>
        </w:rPr>
        <w:t>株洲市2024年度无线电频率使用和在用无线电台（站）监督检查工作方案》、</w:t>
      </w:r>
      <w:r>
        <w:rPr>
          <w:rFonts w:hint="default" w:ascii="Times New Roman" w:hAnsi="Times New Roman" w:eastAsia="仿宋_GB2312" w:cs="Times New Roman"/>
          <w:color w:val="auto"/>
          <w:spacing w:val="0"/>
          <w:kern w:val="2"/>
          <w:sz w:val="32"/>
          <w:szCs w:val="32"/>
          <w:lang w:val="en-US" w:eastAsia="zh-CN" w:bidi="ar-SA"/>
        </w:rPr>
        <w:t>《</w:t>
      </w:r>
      <w:r>
        <w:rPr>
          <w:rFonts w:hint="default" w:ascii="Times New Roman" w:hAnsi="Times New Roman" w:eastAsia="仿宋_GB2312" w:cs="Times New Roman"/>
          <w:color w:val="auto"/>
          <w:spacing w:val="0"/>
          <w:sz w:val="32"/>
          <w:szCs w:val="32"/>
          <w:lang w:val="en-US" w:eastAsia="zh-CN"/>
        </w:rPr>
        <w:t>关于开展业余无线电台（站）检查》等文件，</w:t>
      </w:r>
      <w:r>
        <w:rPr>
          <w:rFonts w:hint="default" w:ascii="Times New Roman" w:hAnsi="Times New Roman" w:eastAsia="仿宋_GB2312" w:cs="Times New Roman"/>
          <w:b w:val="0"/>
          <w:bCs w:val="0"/>
          <w:spacing w:val="0"/>
          <w:sz w:val="32"/>
          <w:szCs w:val="32"/>
          <w:lang w:val="en-US" w:eastAsia="zh-CN"/>
        </w:rPr>
        <w:t>明确了检查依据、组织机构、工作计划和工作要求等，有计划、有步骤、分类别、分阶段开展无线电管理领域的行政监督检查工作</w:t>
      </w:r>
      <w:r>
        <w:rPr>
          <w:rFonts w:hint="default"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b/>
          <w:bCs/>
          <w:spacing w:val="0"/>
          <w:sz w:val="32"/>
          <w:szCs w:val="32"/>
          <w:lang w:val="en-US" w:eastAsia="zh-CN"/>
        </w:rPr>
        <w:t>二是依法实施监督检查。</w:t>
      </w:r>
      <w:r>
        <w:rPr>
          <w:rFonts w:hint="default" w:ascii="Times New Roman" w:hAnsi="Times New Roman" w:eastAsia="仿宋_GB2312" w:cs="Times New Roman"/>
          <w:b w:val="0"/>
          <w:bCs w:val="0"/>
          <w:spacing w:val="0"/>
          <w:sz w:val="32"/>
          <w:szCs w:val="32"/>
          <w:lang w:val="en-US" w:eastAsia="zh-CN"/>
        </w:rPr>
        <w:t>成立设备检测小组和频率台站专项核查</w:t>
      </w:r>
      <w:r>
        <w:rPr>
          <w:rFonts w:hint="default" w:ascii="Times New Roman" w:hAnsi="Times New Roman" w:eastAsia="仿宋_GB2312" w:cs="Times New Roman"/>
          <w:spacing w:val="0"/>
          <w:sz w:val="32"/>
          <w:szCs w:val="32"/>
          <w:lang w:val="en-US" w:eastAsia="zh-CN"/>
        </w:rPr>
        <w:t>小组，采取</w:t>
      </w:r>
      <w:r>
        <w:rPr>
          <w:rFonts w:hint="default" w:ascii="Times New Roman" w:hAnsi="Times New Roman" w:eastAsia="仿宋_GB2312" w:cs="Times New Roman"/>
          <w:spacing w:val="0"/>
          <w:sz w:val="32"/>
          <w:szCs w:val="32"/>
          <w:lang w:val="zh-CN" w:eastAsia="zh-CN"/>
        </w:rPr>
        <w:t>执照书面审查和实地抽查台（站）在用设备相结合的方式，</w:t>
      </w:r>
      <w:r>
        <w:rPr>
          <w:rFonts w:hint="default" w:ascii="Times New Roman" w:hAnsi="Times New Roman" w:eastAsia="仿宋_GB2312" w:cs="Times New Roman"/>
          <w:spacing w:val="0"/>
          <w:sz w:val="32"/>
          <w:szCs w:val="32"/>
          <w:lang w:val="en-US" w:eastAsia="zh-CN"/>
        </w:rPr>
        <w:t>现场</w:t>
      </w:r>
      <w:r>
        <w:rPr>
          <w:rFonts w:hint="default" w:ascii="Times New Roman" w:hAnsi="Times New Roman" w:eastAsia="仿宋_GB2312" w:cs="Times New Roman"/>
          <w:spacing w:val="0"/>
          <w:sz w:val="32"/>
          <w:szCs w:val="32"/>
          <w:lang w:val="en" w:eastAsia="zh-CN"/>
        </w:rPr>
        <w:t>核查</w:t>
      </w:r>
      <w:r>
        <w:rPr>
          <w:rFonts w:hint="default" w:ascii="Times New Roman" w:hAnsi="Times New Roman" w:eastAsia="仿宋_GB2312" w:cs="Times New Roman"/>
          <w:spacing w:val="0"/>
          <w:sz w:val="32"/>
          <w:szCs w:val="32"/>
          <w:lang w:val="en-US" w:eastAsia="zh-CN"/>
        </w:rPr>
        <w:t>铁路、民航及</w:t>
      </w:r>
      <w:r>
        <w:rPr>
          <w:rFonts w:hint="default" w:ascii="Times New Roman" w:hAnsi="Times New Roman" w:eastAsia="仿宋_GB2312" w:cs="Times New Roman"/>
          <w:spacing w:val="0"/>
          <w:sz w:val="32"/>
          <w:szCs w:val="32"/>
          <w:lang w:val="en" w:eastAsia="zh-CN"/>
        </w:rPr>
        <w:t>公众移动通信基站等单位各类台站</w:t>
      </w: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lang w:val="en" w:eastAsia="zh-CN"/>
        </w:rPr>
        <w:t>80余台（套）</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i w:val="0"/>
          <w:iCs w:val="0"/>
          <w:spacing w:val="0"/>
          <w:sz w:val="32"/>
          <w:szCs w:val="32"/>
          <w:lang w:val="en-US" w:eastAsia="zh-CN"/>
        </w:rPr>
        <w:t>通过专项核查，依法依规受理行政许可8件，审核入库台站70个，核发电台执照31份，注销频率3对，注销台站18台套，审核入库公众通信基站19502个，注销公众通信基站9405个，</w:t>
      </w:r>
      <w:r>
        <w:rPr>
          <w:rFonts w:hint="default" w:ascii="Times New Roman" w:hAnsi="Times New Roman" w:eastAsia="仿宋_GB2312" w:cs="Times New Roman"/>
          <w:color w:val="auto"/>
          <w:spacing w:val="0"/>
          <w:kern w:val="2"/>
          <w:sz w:val="32"/>
          <w:szCs w:val="32"/>
          <w:lang w:val="en-US" w:eastAsia="zh-CN" w:bidi="ar-SA"/>
        </w:rPr>
        <w:t>抽查业余无线电台6台（套），进一步提升了全市频率台站规范化、科学化管理水平。</w:t>
      </w:r>
      <w:r>
        <w:rPr>
          <w:rFonts w:hint="default" w:ascii="Times New Roman" w:hAnsi="Times New Roman" w:eastAsia="仿宋_GB2312" w:cs="Times New Roman"/>
          <w:b/>
          <w:bCs/>
          <w:color w:val="auto"/>
          <w:spacing w:val="0"/>
          <w:kern w:val="2"/>
          <w:sz w:val="32"/>
          <w:szCs w:val="32"/>
          <w:lang w:val="en-US" w:eastAsia="zh-CN" w:bidi="ar-SA"/>
        </w:rPr>
        <w:t>三是开展</w:t>
      </w:r>
      <w:r>
        <w:rPr>
          <w:rFonts w:hint="default" w:ascii="Times New Roman" w:hAnsi="Times New Roman" w:eastAsia="仿宋_GB2312" w:cs="Times New Roman"/>
          <w:b/>
          <w:bCs/>
          <w:i w:val="0"/>
          <w:iCs w:val="0"/>
          <w:spacing w:val="0"/>
          <w:sz w:val="32"/>
          <w:szCs w:val="32"/>
          <w:lang w:val="en-US" w:eastAsia="zh-CN"/>
        </w:rPr>
        <w:t>设备检测工作。</w:t>
      </w:r>
      <w:r>
        <w:rPr>
          <w:rFonts w:hint="default" w:ascii="Times New Roman" w:hAnsi="Times New Roman" w:eastAsia="仿宋_GB2312" w:cs="Times New Roman"/>
          <w:i w:val="0"/>
          <w:iCs w:val="0"/>
          <w:spacing w:val="0"/>
          <w:kern w:val="2"/>
          <w:sz w:val="32"/>
          <w:szCs w:val="32"/>
          <w:lang w:val="en-US" w:eastAsia="zh-CN" w:bidi="ar-SA"/>
        </w:rPr>
        <w:t>根据省厅文件要求，制订《株洲市2024年度在用无线电发射设备检测工作方案》，组织开展2024年度株洲市在用无线电发射设备检测工作，检测各类在用无线电发射设备31台（套），其中，现场检测业余无线电台2个、地基雷达台站1个、GSM基站3个、TD-LTE基站10个、WCDMA基站3个、FDD-LTE基站3个，电信公司FDD-LTE基站5个，其他台站4个，检测数据真实、检测报告规范，并按要求呈报省无线电设备检测中心。</w:t>
      </w:r>
    </w:p>
    <w:p>
      <w:pPr>
        <w:keepNext w:val="0"/>
        <w:keepLines w:val="0"/>
        <w:pageBreakBefore w:val="0"/>
        <w:widowControl w:val="0"/>
        <w:kinsoku/>
        <w:wordWrap/>
        <w:overflowPunct/>
        <w:topLinePunct w:val="0"/>
        <w:autoSpaceDE/>
        <w:autoSpaceDN/>
        <w:bidi w:val="0"/>
        <w:adjustRightInd/>
        <w:snapToGrid/>
        <w:spacing w:beforeAutospacing="0" w:line="578" w:lineRule="exact"/>
        <w:ind w:firstLine="64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i w:val="0"/>
          <w:iCs w:val="0"/>
          <w:color w:val="auto"/>
          <w:spacing w:val="0"/>
          <w:kern w:val="0"/>
          <w:sz w:val="32"/>
          <w:szCs w:val="32"/>
          <w:u w:val="none"/>
          <w:lang w:val="en-US" w:eastAsia="zh-CN" w:bidi="ar"/>
        </w:rPr>
        <w:t>无线电发射设备管理。</w:t>
      </w:r>
      <w:r>
        <w:rPr>
          <w:rFonts w:hint="default" w:ascii="Times New Roman" w:hAnsi="Times New Roman" w:eastAsia="仿宋_GB2312" w:cs="Times New Roman"/>
          <w:b/>
          <w:bCs/>
          <w:i w:val="0"/>
          <w:iCs w:val="0"/>
          <w:spacing w:val="0"/>
          <w:sz w:val="32"/>
          <w:szCs w:val="32"/>
          <w:lang w:val="en-US" w:eastAsia="zh-CN"/>
        </w:rPr>
        <w:t>一是周密部署。</w:t>
      </w:r>
      <w:r>
        <w:rPr>
          <w:rFonts w:hint="default" w:ascii="Times New Roman" w:hAnsi="Times New Roman" w:eastAsia="仿宋_GB2312" w:cs="Times New Roman"/>
          <w:b w:val="0"/>
          <w:bCs w:val="0"/>
          <w:i w:val="0"/>
          <w:iCs w:val="0"/>
          <w:spacing w:val="0"/>
          <w:sz w:val="32"/>
          <w:szCs w:val="32"/>
          <w:lang w:val="en-US" w:eastAsia="zh-CN"/>
        </w:rPr>
        <w:t>制订并发布</w:t>
      </w:r>
      <w:r>
        <w:rPr>
          <w:rFonts w:hint="default" w:ascii="Times New Roman" w:hAnsi="Times New Roman" w:eastAsia="仿宋_GB2312" w:cs="Times New Roman"/>
          <w:b w:val="0"/>
          <w:bCs w:val="0"/>
          <w:i w:val="0"/>
          <w:iCs w:val="0"/>
          <w:spacing w:val="0"/>
          <w:sz w:val="32"/>
          <w:szCs w:val="32"/>
          <w:lang w:val="en" w:eastAsia="zh-CN"/>
        </w:rPr>
        <w:t>《关于做好无线电发射设备销售备案的通告》《无线电发射设备销售备案工作指南》《关于协助做好无线电发射设备销售备案工作的通知》等文件，</w:t>
      </w:r>
      <w:r>
        <w:rPr>
          <w:rFonts w:hint="default" w:ascii="Times New Roman" w:hAnsi="Times New Roman" w:eastAsia="仿宋_GB2312" w:cs="Times New Roman"/>
          <w:b w:val="0"/>
          <w:bCs w:val="0"/>
          <w:spacing w:val="0"/>
          <w:sz w:val="32"/>
          <w:szCs w:val="32"/>
          <w:lang w:val="en-US" w:eastAsia="zh-CN"/>
        </w:rPr>
        <w:t>工信局官网、广播电视网及红网等进行转发刊载，并张贴在全市主要的无线电发射设备销售市场，联合各县市区工信部门，开展普法宣传、业务培训和现场检查，</w:t>
      </w:r>
      <w:r>
        <w:rPr>
          <w:rFonts w:hint="default" w:ascii="Times New Roman" w:hAnsi="Times New Roman" w:eastAsia="仿宋_GB2312" w:cs="Times New Roman"/>
          <w:b w:val="0"/>
          <w:bCs w:val="0"/>
          <w:i w:val="0"/>
          <w:iCs w:val="0"/>
          <w:spacing w:val="0"/>
          <w:sz w:val="32"/>
          <w:szCs w:val="32"/>
          <w:lang w:val="en-US" w:eastAsia="zh-CN"/>
        </w:rPr>
        <w:t>提高了全市各经销商对无线电发射设备销售备案工作重要性的认识</w:t>
      </w:r>
      <w:r>
        <w:rPr>
          <w:rFonts w:hint="default"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bCs/>
          <w:spacing w:val="0"/>
          <w:sz w:val="32"/>
          <w:szCs w:val="32"/>
          <w:lang w:val="en-US" w:eastAsia="zh-CN"/>
        </w:rPr>
        <w:t>二是开展季度巡检工作。</w:t>
      </w:r>
      <w:r>
        <w:rPr>
          <w:rFonts w:hint="default" w:ascii="Times New Roman" w:hAnsi="Times New Roman" w:eastAsia="仿宋_GB2312" w:cs="Times New Roman"/>
          <w:b w:val="0"/>
          <w:bCs w:val="0"/>
          <w:i w:val="0"/>
          <w:iCs w:val="0"/>
          <w:spacing w:val="0"/>
          <w:sz w:val="32"/>
          <w:szCs w:val="32"/>
          <w:lang w:val="en" w:eastAsia="zh-CN"/>
        </w:rPr>
        <w:t>通过广泛宣传、网站发布、现场检查、会议培训等方式，联合</w:t>
      </w:r>
      <w:r>
        <w:rPr>
          <w:rFonts w:hint="default" w:ascii="Times New Roman" w:hAnsi="Times New Roman" w:eastAsia="仿宋_GB2312" w:cs="Times New Roman"/>
          <w:b w:val="0"/>
          <w:bCs w:val="0"/>
          <w:i w:val="0"/>
          <w:iCs w:val="0"/>
          <w:spacing w:val="0"/>
          <w:sz w:val="32"/>
          <w:szCs w:val="32"/>
          <w:lang w:val="en-US" w:eastAsia="zh-CN"/>
        </w:rPr>
        <w:t>各县市区工信部门、各公众移动通信运营商、各无线电发射设备销售代理商及各市场管理方，督促指导各单位做好本辖区、本行业、本系统、本单位的无线电发射设备销售网上备案工作。3月、5月、6月、9月、12月，先后</w:t>
      </w:r>
      <w:r>
        <w:rPr>
          <w:rFonts w:hint="default" w:ascii="Times New Roman" w:hAnsi="Times New Roman" w:eastAsia="仿宋_GB2312" w:cs="Times New Roman"/>
          <w:b w:val="0"/>
          <w:bCs w:val="0"/>
          <w:i w:val="0"/>
          <w:iCs w:val="0"/>
          <w:spacing w:val="0"/>
          <w:sz w:val="32"/>
          <w:szCs w:val="32"/>
          <w:lang w:val="en" w:eastAsia="zh-CN"/>
        </w:rPr>
        <w:t>开展无线电发射设备线上、线下销售巡检工作，</w:t>
      </w:r>
      <w:r>
        <w:rPr>
          <w:rFonts w:hint="default" w:ascii="Times New Roman" w:hAnsi="Times New Roman" w:eastAsia="仿宋_GB2312" w:cs="Times New Roman"/>
          <w:b w:val="0"/>
          <w:bCs w:val="0"/>
          <w:i w:val="0"/>
          <w:iCs w:val="0"/>
          <w:spacing w:val="0"/>
          <w:sz w:val="32"/>
          <w:szCs w:val="32"/>
          <w:lang w:val="en-US" w:eastAsia="zh-CN"/>
        </w:rPr>
        <w:t>不断规范全市无线电发射设备销售市场秩序，从源头上防止和减少无线电干扰，保障无线电通信安全。全年</w:t>
      </w:r>
      <w:r>
        <w:rPr>
          <w:rFonts w:hint="default" w:ascii="Times New Roman" w:hAnsi="Times New Roman" w:eastAsia="仿宋_GB2312" w:cs="Times New Roman"/>
          <w:sz w:val="32"/>
          <w:szCs w:val="32"/>
          <w:lang w:val="en-US" w:eastAsia="zh-CN"/>
        </w:rPr>
        <w:t>抽检设备、台站610余台（套），</w:t>
      </w:r>
      <w:r>
        <w:rPr>
          <w:rFonts w:hint="default" w:ascii="Times New Roman" w:hAnsi="Times New Roman" w:eastAsia="仿宋_GB2312" w:cs="Times New Roman"/>
          <w:b w:val="0"/>
          <w:bCs w:val="0"/>
          <w:sz w:val="32"/>
          <w:szCs w:val="32"/>
          <w:lang w:val="en-US" w:eastAsia="zh-CN"/>
        </w:rPr>
        <w:t>现场抽查销售备案经营主体55家，</w:t>
      </w:r>
      <w:r>
        <w:rPr>
          <w:rFonts w:hint="default" w:ascii="Times New Roman" w:hAnsi="Times New Roman" w:eastAsia="仿宋_GB2312" w:cs="Times New Roman"/>
          <w:b w:val="0"/>
          <w:bCs w:val="0"/>
          <w:spacing w:val="0"/>
          <w:sz w:val="32"/>
          <w:szCs w:val="32"/>
          <w:lang w:val="en-US" w:eastAsia="zh-CN"/>
        </w:rPr>
        <w:t>下发备案告知书18份，</w:t>
      </w:r>
      <w:r>
        <w:rPr>
          <w:rFonts w:hint="default" w:ascii="Times New Roman" w:hAnsi="Times New Roman" w:eastAsia="仿宋_GB2312" w:cs="Times New Roman"/>
          <w:sz w:val="32"/>
          <w:szCs w:val="32"/>
          <w:lang w:val="en-US" w:eastAsia="zh-CN"/>
        </w:rPr>
        <w:t>新增备案主体96家，新增备案设备1893台套</w:t>
      </w:r>
      <w:r>
        <w:rPr>
          <w:rFonts w:hint="default"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sz w:val="32"/>
          <w:szCs w:val="32"/>
          <w:lang w:val="en-US" w:eastAsia="zh-CN"/>
        </w:rPr>
        <w:t>为有效维护良好空中电波秩序打下了坚实基础</w:t>
      </w:r>
      <w:r>
        <w:rPr>
          <w:rFonts w:hint="default"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b/>
          <w:bCs/>
          <w:i w:val="0"/>
          <w:iCs w:val="0"/>
          <w:spacing w:val="0"/>
          <w:sz w:val="32"/>
          <w:szCs w:val="32"/>
          <w:lang w:val="en-US" w:eastAsia="zh-CN"/>
        </w:rPr>
        <w:t>三是开展“双随机</w:t>
      </w:r>
      <w:r>
        <w:rPr>
          <w:rFonts w:hint="eastAsia" w:eastAsia="仿宋_GB2312" w:cs="Times New Roman"/>
          <w:b/>
          <w:bCs/>
          <w:i w:val="0"/>
          <w:iCs w:val="0"/>
          <w:spacing w:val="0"/>
          <w:sz w:val="32"/>
          <w:szCs w:val="32"/>
          <w:lang w:val="en-US" w:eastAsia="zh-CN"/>
        </w:rPr>
        <w:t>、</w:t>
      </w:r>
      <w:r>
        <w:rPr>
          <w:rFonts w:hint="default" w:ascii="Times New Roman" w:hAnsi="Times New Roman" w:eastAsia="仿宋_GB2312" w:cs="Times New Roman"/>
          <w:b/>
          <w:bCs/>
          <w:i w:val="0"/>
          <w:iCs w:val="0"/>
          <w:spacing w:val="0"/>
          <w:sz w:val="32"/>
          <w:szCs w:val="32"/>
          <w:lang w:val="en-US" w:eastAsia="zh-CN"/>
        </w:rPr>
        <w:t>一公开”执法检查。</w:t>
      </w:r>
      <w:r>
        <w:rPr>
          <w:rFonts w:hint="default" w:ascii="Times New Roman" w:hAnsi="Times New Roman" w:eastAsia="仿宋_GB2312" w:cs="Times New Roman"/>
          <w:b w:val="0"/>
          <w:bCs w:val="0"/>
          <w:i w:val="0"/>
          <w:iCs w:val="0"/>
          <w:spacing w:val="0"/>
          <w:sz w:val="32"/>
          <w:szCs w:val="32"/>
          <w:lang w:val="en-US" w:eastAsia="zh-CN"/>
        </w:rPr>
        <w:t>8月，制订并印发《关于印发</w:t>
      </w:r>
      <w:r>
        <w:rPr>
          <w:rFonts w:hint="default" w:ascii="Times New Roman" w:hAnsi="Times New Roman" w:eastAsia="仿宋_GB2312" w:cs="Times New Roman"/>
          <w:b w:val="0"/>
          <w:bCs w:val="0"/>
          <w:i w:val="0"/>
          <w:iCs w:val="0"/>
          <w:spacing w:val="0"/>
          <w:sz w:val="32"/>
          <w:szCs w:val="32"/>
          <w:lang w:val="en" w:eastAsia="zh-CN"/>
        </w:rPr>
        <w:t>&lt;</w:t>
      </w:r>
      <w:r>
        <w:rPr>
          <w:rFonts w:hint="default" w:ascii="Times New Roman" w:hAnsi="Times New Roman" w:eastAsia="仿宋_GB2312" w:cs="Times New Roman"/>
          <w:b w:val="0"/>
          <w:bCs w:val="0"/>
          <w:i w:val="0"/>
          <w:iCs w:val="0"/>
          <w:spacing w:val="0"/>
          <w:sz w:val="32"/>
          <w:szCs w:val="32"/>
          <w:lang w:val="en-US" w:eastAsia="zh-CN"/>
        </w:rPr>
        <w:t>2024年度株洲市无线电发射设备销售备案“双随机、一公开”检查工作方案</w:t>
      </w:r>
      <w:r>
        <w:rPr>
          <w:rFonts w:hint="default" w:ascii="Times New Roman" w:hAnsi="Times New Roman" w:eastAsia="仿宋_GB2312" w:cs="Times New Roman"/>
          <w:b w:val="0"/>
          <w:bCs w:val="0"/>
          <w:i w:val="0"/>
          <w:iCs w:val="0"/>
          <w:spacing w:val="0"/>
          <w:sz w:val="32"/>
          <w:szCs w:val="32"/>
          <w:lang w:val="en" w:eastAsia="zh-CN"/>
        </w:rPr>
        <w:t>&gt;</w:t>
      </w:r>
      <w:r>
        <w:rPr>
          <w:rFonts w:hint="default" w:ascii="Times New Roman" w:hAnsi="Times New Roman" w:eastAsia="仿宋_GB2312" w:cs="Times New Roman"/>
          <w:b w:val="0"/>
          <w:bCs w:val="0"/>
          <w:i w:val="0"/>
          <w:iCs w:val="0"/>
          <w:spacing w:val="0"/>
          <w:sz w:val="32"/>
          <w:szCs w:val="32"/>
          <w:lang w:val="en-US" w:eastAsia="zh-CN"/>
        </w:rPr>
        <w:t>的通知》等文件，明确检查任务、检查安</w:t>
      </w:r>
      <w:r>
        <w:rPr>
          <w:rFonts w:hint="default" w:ascii="Times New Roman" w:hAnsi="Times New Roman" w:eastAsia="仿宋_GB2312" w:cs="Times New Roman"/>
          <w:i w:val="0"/>
          <w:iCs w:val="0"/>
          <w:spacing w:val="0"/>
          <w:sz w:val="32"/>
          <w:szCs w:val="32"/>
          <w:lang w:val="en-US" w:eastAsia="zh-CN"/>
        </w:rPr>
        <w:t>排、工作要求等内容。组建两个行政执法检查小组，分区域开展“双随机</w:t>
      </w:r>
      <w:r>
        <w:rPr>
          <w:rFonts w:hint="eastAsia" w:eastAsia="仿宋_GB2312" w:cs="Times New Roman"/>
          <w:i w:val="0"/>
          <w:iCs w:val="0"/>
          <w:spacing w:val="0"/>
          <w:sz w:val="32"/>
          <w:szCs w:val="32"/>
          <w:lang w:val="en-US" w:eastAsia="zh-CN"/>
        </w:rPr>
        <w:t>、</w:t>
      </w:r>
      <w:r>
        <w:rPr>
          <w:rFonts w:hint="default" w:ascii="Times New Roman" w:hAnsi="Times New Roman" w:eastAsia="仿宋_GB2312" w:cs="Times New Roman"/>
          <w:i w:val="0"/>
          <w:iCs w:val="0"/>
          <w:spacing w:val="0"/>
          <w:sz w:val="32"/>
          <w:szCs w:val="32"/>
          <w:lang w:val="en-US" w:eastAsia="zh-CN"/>
        </w:rPr>
        <w:t>一公开”行政执法检查，现场抽查销售经营主体19家，抽查设备240台（套）。</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left"/>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经济效益</w:t>
      </w:r>
      <w:r>
        <w:rPr>
          <w:rFonts w:hint="eastAsia" w:ascii="Times New Roman" w:hAnsi="Times New Roman" w:eastAsia="仿宋_GB2312" w:cs="Times New Roman"/>
          <w:b/>
          <w:bCs/>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1</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依法实施行政许可。</w:t>
      </w:r>
      <w:r>
        <w:rPr>
          <w:rFonts w:hint="default" w:ascii="Times New Roman" w:hAnsi="Times New Roman" w:eastAsia="仿宋_GB2312" w:cs="Times New Roman"/>
          <w:sz w:val="32"/>
          <w:szCs w:val="32"/>
          <w:lang w:val="en-US" w:eastAsia="zh-CN"/>
        </w:rPr>
        <w:t>科学配置无线电频谱资源，助力全市经济社会发展。2024年，依法受理、办结行政许可9件，及时清理收回闲置频率3对，科学规范管理各类无线电台站4万余个。</w:t>
      </w:r>
      <w:r>
        <w:rPr>
          <w:rFonts w:hint="default" w:ascii="Times New Roman" w:hAnsi="Times New Roman" w:eastAsia="仿宋_GB2312" w:cs="Times New Roman"/>
          <w:color w:val="auto"/>
          <w:spacing w:val="0"/>
          <w:sz w:val="32"/>
          <w:szCs w:val="32"/>
          <w:lang w:val="en-US" w:eastAsia="zh-CN"/>
        </w:rPr>
        <w:t>所有行政许可受理资料齐全，办结率、准确率、案卷完整率均达到100%。</w:t>
      </w:r>
    </w:p>
    <w:p>
      <w:pPr>
        <w:keepNext w:val="0"/>
        <w:keepLines w:val="0"/>
        <w:pageBreakBefore w:val="0"/>
        <w:widowControl w:val="0"/>
        <w:kinsoku/>
        <w:wordWrap/>
        <w:overflowPunct/>
        <w:topLinePunct w:val="0"/>
        <w:autoSpaceDE/>
        <w:autoSpaceDN/>
        <w:bidi w:val="0"/>
        <w:adjustRightInd/>
        <w:snapToGrid/>
        <w:spacing w:beforeAutospacing="0" w:line="578" w:lineRule="exact"/>
        <w:ind w:firstLine="642"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val="en-US" w:eastAsia="zh-CN"/>
        </w:rPr>
        <w:t>）开展行政监督。</w:t>
      </w:r>
      <w:r>
        <w:rPr>
          <w:rFonts w:hint="default" w:ascii="Times New Roman" w:hAnsi="Times New Roman" w:eastAsia="仿宋_GB2312" w:cs="Times New Roman"/>
          <w:b w:val="0"/>
          <w:bCs w:val="0"/>
          <w:sz w:val="32"/>
          <w:szCs w:val="32"/>
          <w:lang w:val="en-US" w:eastAsia="zh-CN"/>
        </w:rPr>
        <w:t>遵循“依法行政、科学监管、公正执法、服务发展”的原则，加强对无线电频率使用和设备审批的监管和查处力度。</w:t>
      </w:r>
      <w:r>
        <w:rPr>
          <w:rFonts w:hint="default" w:ascii="Times New Roman" w:hAnsi="Times New Roman" w:eastAsia="仿宋_GB2312" w:cs="Times New Roman"/>
          <w:color w:val="auto"/>
          <w:spacing w:val="0"/>
          <w:kern w:val="2"/>
          <w:sz w:val="32"/>
          <w:szCs w:val="32"/>
          <w:lang w:val="en-US" w:eastAsia="zh-CN" w:bidi="ar-SA"/>
        </w:rPr>
        <w:t>制订印发《2024年度株洲市无线电管理领域行政检查工作方案》、《</w:t>
      </w:r>
      <w:r>
        <w:rPr>
          <w:rFonts w:hint="default" w:ascii="Times New Roman" w:hAnsi="Times New Roman" w:eastAsia="仿宋_GB2312" w:cs="Times New Roman"/>
          <w:color w:val="auto"/>
          <w:spacing w:val="0"/>
          <w:sz w:val="32"/>
          <w:szCs w:val="32"/>
          <w:lang w:val="en-US" w:eastAsia="zh-CN"/>
        </w:rPr>
        <w:t>关于开展业余无线电台（站）检查》、</w:t>
      </w:r>
      <w:r>
        <w:rPr>
          <w:rFonts w:hint="default" w:ascii="Times New Roman" w:hAnsi="Times New Roman" w:eastAsia="仿宋_GB2312" w:cs="Times New Roman"/>
          <w:i w:val="0"/>
          <w:iCs w:val="0"/>
          <w:spacing w:val="0"/>
          <w:kern w:val="2"/>
          <w:sz w:val="32"/>
          <w:szCs w:val="32"/>
          <w:lang w:val="en-US" w:eastAsia="zh-CN" w:bidi="ar-SA"/>
        </w:rPr>
        <w:t>《株洲市2024年度在用无线电发射设备检测工作方案》、</w:t>
      </w:r>
      <w:r>
        <w:rPr>
          <w:rFonts w:hint="default" w:ascii="Times New Roman" w:hAnsi="Times New Roman" w:eastAsia="仿宋_GB2312" w:cs="Times New Roman"/>
          <w:b w:val="0"/>
          <w:bCs w:val="0"/>
          <w:i w:val="0"/>
          <w:iCs w:val="0"/>
          <w:spacing w:val="0"/>
          <w:sz w:val="32"/>
          <w:szCs w:val="32"/>
          <w:lang w:val="en-US" w:eastAsia="zh-CN"/>
        </w:rPr>
        <w:t>《关于印发</w:t>
      </w:r>
      <w:r>
        <w:rPr>
          <w:rFonts w:hint="default" w:ascii="Times New Roman" w:hAnsi="Times New Roman" w:eastAsia="仿宋_GB2312" w:cs="Times New Roman"/>
          <w:b w:val="0"/>
          <w:bCs w:val="0"/>
          <w:i w:val="0"/>
          <w:iCs w:val="0"/>
          <w:spacing w:val="0"/>
          <w:sz w:val="32"/>
          <w:szCs w:val="32"/>
          <w:lang w:val="en" w:eastAsia="zh-CN"/>
        </w:rPr>
        <w:t>&lt;</w:t>
      </w:r>
      <w:r>
        <w:rPr>
          <w:rFonts w:hint="default" w:ascii="Times New Roman" w:hAnsi="Times New Roman" w:eastAsia="仿宋_GB2312" w:cs="Times New Roman"/>
          <w:b w:val="0"/>
          <w:bCs w:val="0"/>
          <w:i w:val="0"/>
          <w:iCs w:val="0"/>
          <w:spacing w:val="0"/>
          <w:sz w:val="32"/>
          <w:szCs w:val="32"/>
          <w:lang w:val="en-US" w:eastAsia="zh-CN"/>
        </w:rPr>
        <w:t>2024年度株洲市无线电发射设备销售备案“</w:t>
      </w:r>
      <w:bookmarkStart w:id="0" w:name="_GoBack"/>
      <w:bookmarkEnd w:id="0"/>
      <w:r>
        <w:rPr>
          <w:rFonts w:hint="default" w:ascii="Times New Roman" w:hAnsi="Times New Roman" w:eastAsia="仿宋_GB2312" w:cs="Times New Roman"/>
          <w:b w:val="0"/>
          <w:bCs w:val="0"/>
          <w:i w:val="0"/>
          <w:iCs w:val="0"/>
          <w:spacing w:val="0"/>
          <w:sz w:val="32"/>
          <w:szCs w:val="32"/>
          <w:lang w:val="en-US" w:eastAsia="zh-CN"/>
        </w:rPr>
        <w:t>双随机、一公开”检查工作方案</w:t>
      </w:r>
      <w:r>
        <w:rPr>
          <w:rFonts w:hint="default" w:ascii="Times New Roman" w:hAnsi="Times New Roman" w:eastAsia="仿宋_GB2312" w:cs="Times New Roman"/>
          <w:b w:val="0"/>
          <w:bCs w:val="0"/>
          <w:i w:val="0"/>
          <w:iCs w:val="0"/>
          <w:spacing w:val="0"/>
          <w:sz w:val="32"/>
          <w:szCs w:val="32"/>
          <w:lang w:val="en" w:eastAsia="zh-CN"/>
        </w:rPr>
        <w:t>&gt;</w:t>
      </w:r>
      <w:r>
        <w:rPr>
          <w:rFonts w:hint="default" w:ascii="Times New Roman" w:hAnsi="Times New Roman" w:eastAsia="仿宋_GB2312" w:cs="Times New Roman"/>
          <w:b w:val="0"/>
          <w:bCs w:val="0"/>
          <w:i w:val="0"/>
          <w:iCs w:val="0"/>
          <w:spacing w:val="0"/>
          <w:sz w:val="32"/>
          <w:szCs w:val="32"/>
          <w:lang w:val="en-US" w:eastAsia="zh-CN"/>
        </w:rPr>
        <w:t>的通知》</w:t>
      </w:r>
      <w:r>
        <w:rPr>
          <w:rFonts w:hint="default" w:ascii="Times New Roman" w:hAnsi="Times New Roman" w:eastAsia="仿宋_GB2312" w:cs="Times New Roman"/>
          <w:color w:val="auto"/>
          <w:spacing w:val="0"/>
          <w:sz w:val="32"/>
          <w:szCs w:val="32"/>
          <w:lang w:val="en-US" w:eastAsia="zh-CN"/>
        </w:rPr>
        <w:t>等文件，</w:t>
      </w:r>
      <w:r>
        <w:rPr>
          <w:rFonts w:hint="default" w:ascii="Times New Roman" w:hAnsi="Times New Roman" w:eastAsia="仿宋_GB2312" w:cs="Times New Roman"/>
          <w:sz w:val="32"/>
          <w:szCs w:val="32"/>
          <w:lang w:val="en-US" w:eastAsia="zh-CN"/>
        </w:rPr>
        <w:t>开展频台专项核查、打“黑”除“伪”、销售设备专项检查</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color w:val="000000"/>
          <w:sz w:val="32"/>
          <w:szCs w:val="32"/>
          <w:lang w:val="en-US" w:eastAsia="zh-CN"/>
        </w:rPr>
        <w:t>铁路沿线车号识别系统干扰通信基站整治</w:t>
      </w:r>
      <w:r>
        <w:rPr>
          <w:rFonts w:hint="default" w:ascii="Times New Roman" w:hAnsi="Times New Roman" w:eastAsia="仿宋_GB2312" w:cs="Times New Roman"/>
          <w:b w:val="0"/>
          <w:bCs w:val="0"/>
          <w:sz w:val="32"/>
          <w:szCs w:val="32"/>
          <w:lang w:val="en-US" w:eastAsia="zh-CN"/>
        </w:rPr>
        <w:t>等四大专项行动。</w:t>
      </w:r>
      <w:r>
        <w:rPr>
          <w:rFonts w:hint="default" w:ascii="Times New Roman" w:hAnsi="Times New Roman" w:eastAsia="仿宋_GB2312" w:cs="Times New Roman"/>
          <w:spacing w:val="0"/>
          <w:sz w:val="32"/>
          <w:szCs w:val="32"/>
          <w:lang w:val="en-US" w:eastAsia="zh-CN"/>
        </w:rPr>
        <w:t>依法查处“黑广播”案件1起，</w:t>
      </w:r>
      <w:r>
        <w:rPr>
          <w:rFonts w:hint="default" w:ascii="Times New Roman" w:hAnsi="Times New Roman" w:eastAsia="仿宋_GB2312" w:cs="Times New Roman"/>
          <w:b w:val="0"/>
          <w:bCs w:val="0"/>
          <w:color w:val="auto"/>
          <w:spacing w:val="0"/>
          <w:kern w:val="2"/>
          <w:sz w:val="32"/>
          <w:szCs w:val="32"/>
          <w:lang w:val="en-US" w:eastAsia="zh-CN" w:bidi="ar-SA"/>
        </w:rPr>
        <w:t>下达责令改正通知书一份，按要求督促整改到位。</w:t>
      </w:r>
      <w:r>
        <w:rPr>
          <w:rFonts w:hint="default" w:ascii="Times New Roman" w:hAnsi="Times New Roman" w:eastAsia="仿宋_GB2312" w:cs="Times New Roman"/>
          <w:b w:val="0"/>
          <w:bCs w:val="0"/>
          <w:sz w:val="32"/>
          <w:szCs w:val="32"/>
          <w:lang w:val="en-US" w:eastAsia="zh-CN"/>
        </w:rPr>
        <w:t>全年</w:t>
      </w:r>
      <w:r>
        <w:rPr>
          <w:rFonts w:hint="default" w:ascii="Times New Roman" w:hAnsi="Times New Roman" w:eastAsia="仿宋_GB2312" w:cs="Times New Roman"/>
          <w:spacing w:val="0"/>
          <w:kern w:val="2"/>
          <w:sz w:val="32"/>
          <w:szCs w:val="32"/>
          <w:lang w:val="en-US" w:eastAsia="zh-CN" w:bidi="ar-SA"/>
        </w:rPr>
        <w:t>排查无线电干扰12起，查处率100%，或各单位一致好评。</w:t>
      </w:r>
      <w:r>
        <w:rPr>
          <w:rFonts w:hint="default" w:ascii="Times New Roman" w:hAnsi="Times New Roman" w:eastAsia="仿宋_GB2312" w:cs="Times New Roman"/>
          <w:sz w:val="32"/>
          <w:szCs w:val="32"/>
          <w:lang w:val="en-US" w:eastAsia="zh-CN"/>
        </w:rPr>
        <w:t>抽检设备、台站610余台（套），</w:t>
      </w:r>
      <w:r>
        <w:rPr>
          <w:rFonts w:hint="default" w:ascii="Times New Roman" w:hAnsi="Times New Roman" w:eastAsia="仿宋_GB2312" w:cs="Times New Roman"/>
          <w:b w:val="0"/>
          <w:bCs w:val="0"/>
          <w:sz w:val="32"/>
          <w:szCs w:val="32"/>
          <w:lang w:val="en-US" w:eastAsia="zh-CN"/>
        </w:rPr>
        <w:t>现场抽查销售备案经营主体55家，</w:t>
      </w:r>
      <w:r>
        <w:rPr>
          <w:rFonts w:hint="default" w:ascii="Times New Roman" w:hAnsi="Times New Roman" w:eastAsia="仿宋_GB2312" w:cs="Times New Roman"/>
          <w:b w:val="0"/>
          <w:bCs w:val="0"/>
          <w:spacing w:val="0"/>
          <w:sz w:val="32"/>
          <w:szCs w:val="32"/>
          <w:lang w:val="en-US" w:eastAsia="zh-CN"/>
        </w:rPr>
        <w:t>下发备案告知书18份，</w:t>
      </w:r>
      <w:r>
        <w:rPr>
          <w:rFonts w:hint="default" w:ascii="Times New Roman" w:hAnsi="Times New Roman" w:eastAsia="仿宋_GB2312" w:cs="Times New Roman"/>
          <w:sz w:val="32"/>
          <w:szCs w:val="32"/>
          <w:lang w:val="en-US" w:eastAsia="zh-CN"/>
        </w:rPr>
        <w:t>新增备案主体96家，新增备案设备1893台套</w:t>
      </w:r>
      <w:r>
        <w:rPr>
          <w:rFonts w:hint="default"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sz w:val="32"/>
          <w:szCs w:val="32"/>
          <w:lang w:val="en-US" w:eastAsia="zh-CN"/>
        </w:rPr>
        <w:t>为有效维护良好空中电波秩序打下了坚实基础</w:t>
      </w:r>
      <w:r>
        <w:rPr>
          <w:rFonts w:hint="default" w:ascii="Times New Roman" w:hAnsi="Times New Roman" w:eastAsia="仿宋_GB2312" w:cs="Times New Roman"/>
          <w:color w:val="auto"/>
          <w:spacing w:val="0"/>
          <w:sz w:val="32"/>
          <w:szCs w:val="32"/>
          <w:lang w:val="en-US" w:eastAsia="zh-CN"/>
        </w:rPr>
        <w:t>。</w:t>
      </w:r>
    </w:p>
    <w:p>
      <w:pPr>
        <w:pStyle w:val="35"/>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sz w:val="32"/>
          <w:szCs w:val="32"/>
          <w:highlight w:val="none"/>
          <w:lang w:val="en-US" w:eastAsia="zh-CN"/>
        </w:rPr>
        <w:t>可持续影响</w:t>
      </w:r>
      <w:r>
        <w:rPr>
          <w:rFonts w:hint="eastAsia"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color w:val="auto"/>
          <w:kern w:val="2"/>
          <w:sz w:val="32"/>
          <w:szCs w:val="32"/>
          <w:lang w:val="en-US" w:eastAsia="zh-CN" w:bidi="ar-SA"/>
        </w:rPr>
        <w:t>全年组织开展“2.13世界无线电日”“5·17世界电信日”以及全国无线电管理宣传月（株洲）活动等专题宣传，开展无线电管理宣传“进机关、进市场、进学校、进企业”等系列宣传活动。全年推送各类无线电稿件40余篇，其中国家级媒体平台刊载新闻报道12篇；省级媒体平台刊载13篇；市级媒体平台刊载15篇。全年制作宣传展板10块，悬挂宣传横幅6条，开展专题讲座1次，印制分发宣传资料3000余份，累计推送无线电公益宣传短信420余万条，利用大型户外LED电子屏连续滚动循环播放无线电科普宣传视频、标语口号，营造了无线电管理共识共治共为的良好社会氛围，进一步增进了民众对无线电管理的认知度和参与度。</w:t>
      </w:r>
    </w:p>
    <w:p>
      <w:pPr>
        <w:pStyle w:val="35"/>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2"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bCs/>
          <w:kern w:val="2"/>
          <w:sz w:val="32"/>
          <w:szCs w:val="32"/>
          <w:lang w:val="en-US" w:eastAsia="zh-CN" w:bidi="ar-SA"/>
        </w:rPr>
        <w:t>4</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sz w:val="32"/>
          <w:szCs w:val="32"/>
          <w:highlight w:val="none"/>
        </w:rPr>
        <w:t>满意度</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color w:val="auto"/>
          <w:spacing w:val="0"/>
          <w:sz w:val="32"/>
          <w:szCs w:val="32"/>
          <w:lang w:val="en-US" w:eastAsia="zh-CN"/>
        </w:rPr>
        <w:t>2024年，株洲市无线电管理机构获评2023年度株洲市教育招生考试优秀成员单位、2024株洲马拉松先进单位等荣誉称号，杨铠诚同志获评2024株洲马拉松先进个人，殷雄同志获评2023年度株洲市教育招生考试先进个人，受到通报表彰或获主管副市长授牌表彰。</w:t>
      </w:r>
    </w:p>
    <w:p>
      <w:pPr>
        <w:keepNext w:val="0"/>
        <w:keepLines w:val="0"/>
        <w:pageBreakBefore w:val="0"/>
        <w:widowControl w:val="0"/>
        <w:tabs>
          <w:tab w:val="left" w:pos="7560"/>
        </w:tabs>
        <w:kinsoku/>
        <w:wordWrap/>
        <w:overflowPunct/>
        <w:topLinePunct w:val="0"/>
        <w:autoSpaceDE/>
        <w:autoSpaceDN/>
        <w:bidi w:val="0"/>
        <w:adjustRightInd w:val="0"/>
        <w:snapToGrid w:val="0"/>
        <w:spacing w:line="578" w:lineRule="exact"/>
        <w:jc w:val="both"/>
        <w:textAlignment w:val="auto"/>
        <w:rPr>
          <w:rFonts w:hint="default" w:ascii="Times New Roman" w:hAnsi="Times New Roman" w:eastAsia="仿宋_GB2312" w:cs="Times New Roman"/>
          <w:sz w:val="28"/>
          <w:szCs w:val="28"/>
        </w:rPr>
        <w:sectPr>
          <w:footerReference r:id="rId16" w:type="default"/>
          <w:pgSz w:w="11906" w:h="16838"/>
          <w:pgMar w:top="1984" w:right="1531" w:bottom="1701" w:left="1531" w:header="851" w:footer="1588" w:gutter="0"/>
          <w:cols w:space="720" w:num="1"/>
          <w:docGrid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202</w:t>
      </w:r>
      <w:r>
        <w:rPr>
          <w:rFonts w:hint="eastAsia" w:ascii="Times New Roman" w:hAnsi="Times New Roman" w:eastAsia="方正小标宋简体" w:cs="Times New Roman"/>
          <w:color w:val="000000"/>
          <w:kern w:val="0"/>
          <w:sz w:val="41"/>
          <w:szCs w:val="41"/>
          <w:lang w:val="en-US" w:eastAsia="zh-CN" w:bidi="ar"/>
        </w:rPr>
        <w:t>4</w:t>
      </w:r>
      <w:r>
        <w:rPr>
          <w:rFonts w:hint="default" w:ascii="Times New Roman" w:hAnsi="Times New Roman" w:eastAsia="方正小标宋简体" w:cs="Times New Roman"/>
          <w:color w:val="000000"/>
          <w:kern w:val="0"/>
          <w:sz w:val="41"/>
          <w:szCs w:val="41"/>
          <w:lang w:val="en-US" w:eastAsia="zh-CN" w:bidi="ar"/>
        </w:rPr>
        <w:t>年度项目支出绩效自评表</w:t>
      </w:r>
    </w:p>
    <w:tbl>
      <w:tblPr>
        <w:tblStyle w:val="22"/>
        <w:tblW w:w="9839" w:type="dxa"/>
        <w:jc w:val="center"/>
        <w:tblLayout w:type="autofit"/>
        <w:tblCellMar>
          <w:top w:w="0" w:type="dxa"/>
          <w:left w:w="108" w:type="dxa"/>
          <w:bottom w:w="0" w:type="dxa"/>
          <w:right w:w="108" w:type="dxa"/>
        </w:tblCellMar>
      </w:tblPr>
      <w:tblGrid>
        <w:gridCol w:w="1077"/>
        <w:gridCol w:w="1077"/>
        <w:gridCol w:w="1079"/>
        <w:gridCol w:w="1222"/>
        <w:gridCol w:w="1135"/>
        <w:gridCol w:w="1132"/>
        <w:gridCol w:w="826"/>
        <w:gridCol w:w="871"/>
        <w:gridCol w:w="1420"/>
      </w:tblGrid>
      <w:tr>
        <w:tblPrEx>
          <w:tblCellMar>
            <w:top w:w="0" w:type="dxa"/>
            <w:left w:w="108" w:type="dxa"/>
            <w:bottom w:w="0" w:type="dxa"/>
            <w:right w:w="108" w:type="dxa"/>
          </w:tblCellMar>
        </w:tblPrEx>
        <w:trPr>
          <w:trHeight w:val="582"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62"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中央无线电管理经费</w:t>
            </w:r>
          </w:p>
        </w:tc>
      </w:tr>
      <w:tr>
        <w:tblPrEx>
          <w:tblCellMar>
            <w:top w:w="0" w:type="dxa"/>
            <w:left w:w="108" w:type="dxa"/>
            <w:bottom w:w="0" w:type="dxa"/>
            <w:right w:w="108" w:type="dxa"/>
          </w:tblCellMar>
        </w:tblPrEx>
        <w:trPr>
          <w:trHeight w:val="398" w:hRule="atLeast"/>
          <w:jc w:val="center"/>
        </w:trPr>
        <w:tc>
          <w:tcPr>
            <w:tcW w:w="107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3"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株洲市工业和信息化局</w:t>
            </w:r>
          </w:p>
        </w:tc>
        <w:tc>
          <w:tcPr>
            <w:tcW w:w="1132"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7"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株洲市工业和信息化局机关</w:t>
            </w:r>
          </w:p>
        </w:tc>
      </w:tr>
      <w:tr>
        <w:tblPrEx>
          <w:tblCellMar>
            <w:top w:w="0" w:type="dxa"/>
            <w:left w:w="108" w:type="dxa"/>
            <w:bottom w:w="0" w:type="dxa"/>
            <w:right w:w="108" w:type="dxa"/>
          </w:tblCellMar>
        </w:tblPrEx>
        <w:trPr>
          <w:trHeight w:val="554"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2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460"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110</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76.4</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76.4</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22"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9.64</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1.76</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1.76</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119.64</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78.16</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78.16</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trHeight w:val="386"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1018"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完成无线电管理工作。</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按要求完成无线电管理基础和技术设施建设、无线电管理基础和技术设施运行维护、无线电管理专项监管工作、无线电发射设备型号核准测试等工作，获评全省无线电管理工作先进单位。</w:t>
            </w:r>
          </w:p>
        </w:tc>
      </w:tr>
      <w:tr>
        <w:tblPrEx>
          <w:tblCellMar>
            <w:top w:w="0" w:type="dxa"/>
            <w:left w:w="108" w:type="dxa"/>
            <w:bottom w:w="0" w:type="dxa"/>
            <w:right w:w="108" w:type="dxa"/>
          </w:tblCellMar>
        </w:tblPrEx>
        <w:trPr>
          <w:trHeight w:val="588" w:hRule="atLeast"/>
          <w:jc w:val="center"/>
        </w:trPr>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及改进措施</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40分</w:t>
            </w:r>
            <w:r>
              <w:rPr>
                <w:rFonts w:hint="eastAsia" w:ascii="Times New Roman" w:hAnsi="Times New Roman" w:eastAsia="仿宋_GB2312" w:cs="Times New Roman"/>
                <w:color w:val="000000"/>
                <w:sz w:val="20"/>
                <w:szCs w:val="20"/>
                <w:lang w:eastAsia="zh-CN"/>
              </w:rPr>
              <w:t>）</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无线电监测设施定期巡检</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12次</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12次</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设备使用情况</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90%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无线电干扰申诉处理率</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95%</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行政许可受理办结率</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100%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频（台）管理</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4次</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8次</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无线电宣传</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3次</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3次</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1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重点用频用台单位满意度</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80%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无线电管理经费用于无线电管理专项工作</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100%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07" w:hRule="atLeast"/>
          <w:jc w:val="center"/>
        </w:trPr>
        <w:tc>
          <w:tcPr>
            <w:tcW w:w="6722"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r>
    </w:tbl>
    <w:p>
      <w:pPr>
        <w:keepNext w:val="0"/>
        <w:keepLines w:val="0"/>
        <w:pageBreakBefore w:val="0"/>
        <w:widowControl w:val="0"/>
        <w:tabs>
          <w:tab w:val="left" w:pos="7560"/>
        </w:tabs>
        <w:kinsoku/>
        <w:wordWrap/>
        <w:overflowPunct/>
        <w:topLinePunct w:val="0"/>
        <w:autoSpaceDE/>
        <w:autoSpaceDN/>
        <w:bidi w:val="0"/>
        <w:adjustRightInd w:val="0"/>
        <w:snapToGrid w:val="0"/>
        <w:spacing w:line="20" w:lineRule="exact"/>
        <w:jc w:val="left"/>
        <w:textAlignment w:val="auto"/>
        <w:rPr>
          <w:rFonts w:hint="default" w:ascii="Times New Roman" w:hAnsi="Times New Roman" w:eastAsia="仿宋_GB2312" w:cs="Times New Roman"/>
          <w:sz w:val="28"/>
          <w:szCs w:val="28"/>
        </w:rPr>
      </w:pP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rPr>
        <w:br w:type="page"/>
      </w:r>
      <w:r>
        <w:rPr>
          <w:rFonts w:hint="default" w:ascii="Times New Roman" w:hAnsi="Times New Roman" w:eastAsia="方正小标宋简体" w:cs="Times New Roman"/>
          <w:color w:val="000000"/>
          <w:kern w:val="0"/>
          <w:sz w:val="41"/>
          <w:szCs w:val="41"/>
          <w:lang w:val="en-US" w:eastAsia="zh-CN" w:bidi="ar"/>
        </w:rPr>
        <w:t>2024年度制造名城工业企业运行监测和服务平台</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1"/>
          <w:szCs w:val="41"/>
          <w:lang w:val="en-US" w:eastAsia="zh-CN" w:bidi="ar"/>
        </w:rPr>
        <w:t>工作经费绩效自评报告</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eastAsia="黑体" w:cs="Times New Roman"/>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一、预算收支出情况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0"/>
          <w:sz w:val="32"/>
          <w:szCs w:val="32"/>
          <w:highlight w:val="none"/>
          <w:lang w:bidi="ar"/>
        </w:rPr>
        <w:t>2024年预算4.8</w:t>
      </w:r>
      <w:r>
        <w:rPr>
          <w:rFonts w:hint="default" w:ascii="Times New Roman" w:hAnsi="Times New Roman" w:eastAsia="仿宋_GB2312" w:cs="Times New Roman"/>
          <w:b w:val="0"/>
          <w:bCs w:val="0"/>
          <w:color w:val="000000"/>
          <w:kern w:val="0"/>
          <w:sz w:val="32"/>
          <w:szCs w:val="32"/>
          <w:highlight w:val="none"/>
          <w:lang w:val="en-US" w:eastAsia="zh-CN" w:bidi="ar"/>
        </w:rPr>
        <w:t>6</w:t>
      </w:r>
      <w:r>
        <w:rPr>
          <w:rFonts w:hint="default" w:ascii="Times New Roman" w:hAnsi="Times New Roman" w:eastAsia="仿宋_GB2312" w:cs="Times New Roman"/>
          <w:b w:val="0"/>
          <w:bCs w:val="0"/>
          <w:color w:val="000000"/>
          <w:kern w:val="0"/>
          <w:sz w:val="32"/>
          <w:szCs w:val="32"/>
          <w:highlight w:val="none"/>
          <w:lang w:bidi="ar"/>
        </w:rPr>
        <w:t>万元，其中年初预算</w:t>
      </w:r>
      <w:r>
        <w:rPr>
          <w:rFonts w:hint="eastAsia" w:ascii="Times New Roman" w:hAnsi="Times New Roman" w:eastAsia="仿宋_GB2312" w:cs="Times New Roman"/>
          <w:b w:val="0"/>
          <w:bCs w:val="0"/>
          <w:color w:val="000000"/>
          <w:kern w:val="0"/>
          <w:sz w:val="32"/>
          <w:szCs w:val="32"/>
          <w:highlight w:val="none"/>
          <w:lang w:val="en-US" w:eastAsia="zh-CN" w:bidi="ar"/>
        </w:rPr>
        <w:t>5</w:t>
      </w:r>
      <w:r>
        <w:rPr>
          <w:rFonts w:hint="default" w:ascii="Times New Roman" w:hAnsi="Times New Roman" w:eastAsia="仿宋_GB2312" w:cs="Times New Roman"/>
          <w:b w:val="0"/>
          <w:bCs w:val="0"/>
          <w:color w:val="000000"/>
          <w:kern w:val="0"/>
          <w:sz w:val="32"/>
          <w:szCs w:val="32"/>
          <w:highlight w:val="none"/>
          <w:lang w:bidi="ar"/>
        </w:rPr>
        <w:t>万元，实际支出4.8</w:t>
      </w:r>
      <w:r>
        <w:rPr>
          <w:rFonts w:hint="default" w:ascii="Times New Roman" w:hAnsi="Times New Roman" w:eastAsia="仿宋_GB2312" w:cs="Times New Roman"/>
          <w:b w:val="0"/>
          <w:bCs w:val="0"/>
          <w:color w:val="000000"/>
          <w:kern w:val="0"/>
          <w:sz w:val="32"/>
          <w:szCs w:val="32"/>
          <w:highlight w:val="none"/>
          <w:lang w:val="en-US" w:eastAsia="zh-CN" w:bidi="ar"/>
        </w:rPr>
        <w:t>6</w:t>
      </w:r>
      <w:r>
        <w:rPr>
          <w:rFonts w:hint="default" w:ascii="Times New Roman" w:hAnsi="Times New Roman" w:eastAsia="仿宋_GB2312" w:cs="Times New Roman"/>
          <w:b w:val="0"/>
          <w:bCs w:val="0"/>
          <w:color w:val="000000"/>
          <w:kern w:val="0"/>
          <w:sz w:val="32"/>
          <w:szCs w:val="32"/>
          <w:highlight w:val="none"/>
          <w:lang w:bidi="ar"/>
        </w:rPr>
        <w:t xml:space="preserve">万元。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二、项目支出绩效情况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为贯彻市委市政府主要领导决策部署，完整准确全面贯彻新发展理念，提升数字化、信息化工作能力，更好服务全市工业经济高质量发展大局。2024年，县市区工信系统能力建设专项支出4.86万元，主要用于“制造名城工业企业运行监测和服务平台”的日常运维，增添服务模块</w:t>
      </w:r>
      <w:r>
        <w:rPr>
          <w:rFonts w:hint="eastAsia"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丰富应用场景，推进平台蝶变升级，强化运行监测分析，优化企业服务等方面。项目实施及绩效情况如下：</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楷体_GB2312" w:cs="Times New Roman"/>
          <w:color w:val="000000"/>
          <w:kern w:val="0"/>
          <w:sz w:val="31"/>
          <w:szCs w:val="31"/>
          <w:lang w:val="en-US" w:eastAsia="zh-CN" w:bidi="ar"/>
        </w:rPr>
        <w:t>一是新增两个模块。</w:t>
      </w:r>
      <w:r>
        <w:rPr>
          <w:rFonts w:hint="default" w:ascii="Times New Roman" w:hAnsi="Times New Roman" w:eastAsia="仿宋_GB2312" w:cs="Times New Roman"/>
          <w:color w:val="000000"/>
          <w:kern w:val="0"/>
          <w:sz w:val="31"/>
          <w:szCs w:val="31"/>
          <w:lang w:val="en-US" w:eastAsia="zh-CN" w:bidi="ar"/>
        </w:rPr>
        <w:t>新增数智转型模块，推动制造业高端化、智能化、绿色化发展，收录国家级项目66个，省级项目418个，364条智能产线、2477个智能工位及区县分布情况，汇总2015年至2024年的项目台账信息。根据领导指示，为提高产业本地配套率，推动产业链上下游合作对接，新增供需对接模块，已完成模块搭建、内测和开放使用。</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楷体_GB2312" w:cs="Times New Roman"/>
          <w:color w:val="000000"/>
          <w:kern w:val="0"/>
          <w:sz w:val="31"/>
          <w:szCs w:val="31"/>
          <w:lang w:val="en-US" w:eastAsia="zh-CN" w:bidi="ar"/>
        </w:rPr>
        <w:t>二是强化运行监测。</w:t>
      </w:r>
      <w:r>
        <w:rPr>
          <w:rFonts w:hint="default" w:ascii="Times New Roman" w:hAnsi="Times New Roman" w:eastAsia="仿宋_GB2312" w:cs="Times New Roman"/>
          <w:color w:val="000000"/>
          <w:kern w:val="0"/>
          <w:sz w:val="31"/>
          <w:szCs w:val="31"/>
          <w:lang w:val="en-US" w:eastAsia="zh-CN" w:bidi="ar"/>
        </w:rPr>
        <w:t>全市规模工业企业平台注册总量达到2000家以上，每月发动和督促规模工业企业在平台更新产值、营收、利润等指标数据近1.1万条，助力动态监测企业发展状况，研判全市工业经济发展态势，推动全市工业经济运行实现“稳中有升”。2024年自6月起连续7个月全市规模工业增加值增速排名局全省第1位，全年全市规模工业增加值增速增长10.4%。</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楷体_GB2312" w:cs="Times New Roman"/>
          <w:color w:val="000000"/>
          <w:kern w:val="0"/>
          <w:sz w:val="31"/>
          <w:szCs w:val="31"/>
          <w:lang w:val="en-US" w:eastAsia="zh-CN" w:bidi="ar"/>
        </w:rPr>
        <w:t>三是优化企业服务。</w:t>
      </w:r>
      <w:r>
        <w:rPr>
          <w:rFonts w:hint="default" w:ascii="Times New Roman" w:hAnsi="Times New Roman" w:eastAsia="仿宋_GB2312" w:cs="Times New Roman"/>
          <w:color w:val="000000"/>
          <w:kern w:val="0"/>
          <w:sz w:val="31"/>
          <w:szCs w:val="31"/>
          <w:lang w:val="en-US" w:eastAsia="zh-CN" w:bidi="ar"/>
        </w:rPr>
        <w:t>通过平台拓宽企业问题诉求反馈渠道，助力企业健康平稳发展，赋能市“企业办事不求人”专班高效收集和解决企业急难愁盼问题，更好贯彻“心甘情愿、心急如焚”为企服务宗旨，推进企业“全生命周期”服务，全年共收集和交办解决企业反馈各类问题共2403个、企业反馈满意率为92%。</w:t>
      </w:r>
    </w:p>
    <w:p>
      <w:pPr>
        <w:pStyle w:val="32"/>
        <w:ind w:firstLine="620"/>
        <w:rPr>
          <w:rFonts w:hint="default" w:ascii="Times New Roman" w:hAnsi="Times New Roman" w:eastAsia="仿宋" w:cs="Times New Roman"/>
          <w:color w:val="000000"/>
          <w:kern w:val="0"/>
          <w:sz w:val="31"/>
          <w:szCs w:val="31"/>
          <w:lang w:val="en-US" w:eastAsia="zh-CN" w:bidi="ar"/>
        </w:rPr>
      </w:pPr>
    </w:p>
    <w:p>
      <w:pPr>
        <w:pStyle w:val="32"/>
        <w:rPr>
          <w:rFonts w:hint="default" w:ascii="Times New Roman" w:hAnsi="Times New Roman" w:eastAsia="仿宋" w:cs="Times New Roman"/>
          <w:color w:val="000000"/>
          <w:kern w:val="0"/>
          <w:sz w:val="31"/>
          <w:szCs w:val="31"/>
          <w:lang w:val="en-US" w:eastAsia="zh-CN" w:bidi="ar"/>
        </w:rPr>
      </w:pPr>
    </w:p>
    <w:p>
      <w:pPr>
        <w:rPr>
          <w:rFonts w:hint="default" w:ascii="Times New Roman" w:hAnsi="Times New Roman" w:eastAsia="仿宋" w:cs="Times New Roman"/>
          <w:color w:val="000000"/>
          <w:kern w:val="0"/>
          <w:sz w:val="31"/>
          <w:szCs w:val="31"/>
          <w:lang w:val="en-US" w:eastAsia="zh-CN" w:bidi="ar"/>
        </w:rPr>
      </w:pPr>
    </w:p>
    <w:p>
      <w:pPr>
        <w:pStyle w:val="32"/>
        <w:rPr>
          <w:rFonts w:hint="default" w:ascii="Times New Roman" w:hAnsi="Times New Roman" w:eastAsia="仿宋" w:cs="Times New Roman"/>
          <w:color w:val="000000"/>
          <w:kern w:val="0"/>
          <w:sz w:val="31"/>
          <w:szCs w:val="31"/>
          <w:lang w:val="en-US" w:eastAsia="zh-CN" w:bidi="ar"/>
        </w:rPr>
      </w:pPr>
    </w:p>
    <w:p>
      <w:pPr>
        <w:rPr>
          <w:rFonts w:hint="default" w:ascii="Times New Roman" w:hAnsi="Times New Roman" w:eastAsia="仿宋" w:cs="Times New Roman"/>
          <w:color w:val="000000"/>
          <w:kern w:val="0"/>
          <w:sz w:val="31"/>
          <w:szCs w:val="31"/>
          <w:lang w:val="en-US" w:eastAsia="zh-CN" w:bidi="ar"/>
        </w:rPr>
      </w:pPr>
    </w:p>
    <w:p>
      <w:pPr>
        <w:pStyle w:val="32"/>
        <w:rPr>
          <w:rFonts w:hint="default" w:ascii="Times New Roman" w:hAnsi="Times New Roman" w:eastAsia="仿宋" w:cs="Times New Roman"/>
          <w:color w:val="000000"/>
          <w:kern w:val="0"/>
          <w:sz w:val="31"/>
          <w:szCs w:val="31"/>
          <w:lang w:val="en-US" w:eastAsia="zh-CN" w:bidi="ar"/>
        </w:rPr>
      </w:pPr>
    </w:p>
    <w:p>
      <w:pPr>
        <w:rPr>
          <w:rFonts w:hint="default" w:ascii="Times New Roman" w:hAnsi="Times New Roman" w:eastAsia="仿宋" w:cs="Times New Roman"/>
          <w:color w:val="000000"/>
          <w:kern w:val="0"/>
          <w:sz w:val="31"/>
          <w:szCs w:val="31"/>
          <w:lang w:val="en-US" w:eastAsia="zh-CN" w:bidi="ar"/>
        </w:rPr>
      </w:pPr>
    </w:p>
    <w:p>
      <w:pPr>
        <w:pStyle w:val="32"/>
        <w:rPr>
          <w:rFonts w:hint="default" w:ascii="Times New Roman" w:hAnsi="Times New Roman" w:eastAsia="仿宋" w:cs="Times New Roman"/>
          <w:color w:val="000000"/>
          <w:kern w:val="0"/>
          <w:sz w:val="31"/>
          <w:szCs w:val="31"/>
          <w:lang w:val="en-US" w:eastAsia="zh-CN" w:bidi="ar"/>
        </w:rPr>
      </w:pPr>
    </w:p>
    <w:p>
      <w:pPr>
        <w:rPr>
          <w:rFonts w:hint="default" w:ascii="Times New Roman" w:hAnsi="Times New Roman" w:eastAsia="仿宋" w:cs="Times New Roman"/>
          <w:color w:val="000000"/>
          <w:kern w:val="0"/>
          <w:sz w:val="31"/>
          <w:szCs w:val="31"/>
          <w:lang w:val="en-US" w:eastAsia="zh-CN" w:bidi="ar"/>
        </w:rPr>
      </w:pPr>
    </w:p>
    <w:p>
      <w:pPr>
        <w:pStyle w:val="32"/>
        <w:rPr>
          <w:rFonts w:hint="default" w:ascii="Times New Roman" w:hAnsi="Times New Roman" w:eastAsia="仿宋" w:cs="Times New Roman"/>
          <w:color w:val="000000"/>
          <w:kern w:val="0"/>
          <w:sz w:val="31"/>
          <w:szCs w:val="31"/>
          <w:lang w:val="en-US" w:eastAsia="zh-CN" w:bidi="ar"/>
        </w:rPr>
      </w:pPr>
    </w:p>
    <w:p>
      <w:pPr>
        <w:rPr>
          <w:rFonts w:hint="default" w:ascii="Times New Roman" w:hAnsi="Times New Roman" w:eastAsia="仿宋" w:cs="Times New Roman"/>
          <w:color w:val="000000"/>
          <w:kern w:val="0"/>
          <w:sz w:val="31"/>
          <w:szCs w:val="31"/>
          <w:lang w:val="en-US" w:eastAsia="zh-CN" w:bidi="ar"/>
        </w:rPr>
      </w:pPr>
    </w:p>
    <w:p>
      <w:pPr>
        <w:pStyle w:val="32"/>
        <w:rPr>
          <w:rFonts w:hint="default" w:ascii="Times New Roman" w:hAnsi="Times New Roman" w:eastAsia="仿宋" w:cs="Times New Roman"/>
          <w:color w:val="000000"/>
          <w:kern w:val="0"/>
          <w:sz w:val="31"/>
          <w:szCs w:val="31"/>
          <w:lang w:val="en-US" w:eastAsia="zh-CN" w:bidi="ar"/>
        </w:rPr>
      </w:pPr>
    </w:p>
    <w:p>
      <w:pPr>
        <w:rPr>
          <w:rFonts w:hint="default" w:ascii="Times New Roman" w:hAnsi="Times New Roman" w:eastAsia="仿宋" w:cs="Times New Roman"/>
          <w:color w:val="000000"/>
          <w:kern w:val="0"/>
          <w:sz w:val="31"/>
          <w:szCs w:val="31"/>
          <w:lang w:val="en-US" w:eastAsia="zh-CN" w:bidi="ar"/>
        </w:rPr>
      </w:pPr>
    </w:p>
    <w:p>
      <w:pPr>
        <w:pStyle w:val="32"/>
        <w:rPr>
          <w:rFonts w:hint="default" w:ascii="Times New Roman" w:hAnsi="Times New Roman" w:eastAsia="仿宋" w:cs="Times New Roman"/>
          <w:color w:val="000000"/>
          <w:kern w:val="0"/>
          <w:sz w:val="31"/>
          <w:szCs w:val="31"/>
          <w:lang w:val="en-US" w:eastAsia="zh-CN" w:bidi="ar"/>
        </w:rPr>
        <w:sectPr>
          <w:footerReference r:id="rId17" w:type="default"/>
          <w:pgSz w:w="11906" w:h="16838"/>
          <w:pgMar w:top="1984" w:right="1531" w:bottom="1701" w:left="1531" w:header="851" w:footer="1588" w:gutter="0"/>
          <w:cols w:space="720" w:num="1"/>
          <w:docGrid w:linePitch="312" w:charSpace="0"/>
        </w:sectPr>
      </w:pPr>
    </w:p>
    <w:p>
      <w:pPr>
        <w:rPr>
          <w:rFonts w:hint="default" w:ascii="Times New Roman" w:hAnsi="Times New Roman" w:cs="Times New Roman"/>
          <w:lang w:val="en-US" w:eastAsia="zh-CN"/>
        </w:rPr>
      </w:pPr>
    </w:p>
    <w:p>
      <w:pPr>
        <w:pStyle w:val="32"/>
        <w:jc w:val="center"/>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2024年度项目支出绩效自评表</w:t>
      </w:r>
    </w:p>
    <w:tbl>
      <w:tblPr>
        <w:tblStyle w:val="22"/>
        <w:tblW w:w="9839" w:type="dxa"/>
        <w:jc w:val="center"/>
        <w:tblLayout w:type="autofit"/>
        <w:tblCellMar>
          <w:top w:w="0" w:type="dxa"/>
          <w:left w:w="108" w:type="dxa"/>
          <w:bottom w:w="0" w:type="dxa"/>
          <w:right w:w="108" w:type="dxa"/>
        </w:tblCellMar>
      </w:tblPr>
      <w:tblGrid>
        <w:gridCol w:w="1077"/>
        <w:gridCol w:w="1077"/>
        <w:gridCol w:w="1041"/>
        <w:gridCol w:w="1431"/>
        <w:gridCol w:w="964"/>
        <w:gridCol w:w="1132"/>
        <w:gridCol w:w="826"/>
        <w:gridCol w:w="871"/>
        <w:gridCol w:w="1420"/>
      </w:tblGrid>
      <w:tr>
        <w:tblPrEx>
          <w:tblCellMar>
            <w:top w:w="0" w:type="dxa"/>
            <w:left w:w="108" w:type="dxa"/>
            <w:bottom w:w="0" w:type="dxa"/>
            <w:right w:w="108" w:type="dxa"/>
          </w:tblCellMar>
        </w:tblPrEx>
        <w:trPr>
          <w:trHeight w:val="610"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62"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2024年度制造名城工业企业运行监测和服务平台工作经费</w:t>
            </w:r>
          </w:p>
        </w:tc>
      </w:tr>
      <w:tr>
        <w:tblPrEx>
          <w:tblCellMar>
            <w:top w:w="0" w:type="dxa"/>
            <w:left w:w="108" w:type="dxa"/>
            <w:bottom w:w="0" w:type="dxa"/>
            <w:right w:w="108" w:type="dxa"/>
          </w:tblCellMar>
        </w:tblPrEx>
        <w:trPr>
          <w:trHeight w:val="420" w:hRule="atLeast"/>
          <w:jc w:val="center"/>
        </w:trPr>
        <w:tc>
          <w:tcPr>
            <w:tcW w:w="107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3" w:type="dxa"/>
            <w:gridSpan w:val="4"/>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株洲市工业和信息化局</w:t>
            </w:r>
          </w:p>
        </w:tc>
        <w:tc>
          <w:tcPr>
            <w:tcW w:w="1132"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7"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eastAsia="zh-CN"/>
              </w:rPr>
              <w:t>株洲市工业和信息化局</w:t>
            </w:r>
            <w:r>
              <w:rPr>
                <w:rFonts w:hint="eastAsia" w:ascii="Times New Roman" w:hAnsi="Times New Roman" w:eastAsia="仿宋_GB2312" w:cs="Times New Roman"/>
                <w:color w:val="000000"/>
                <w:sz w:val="20"/>
                <w:szCs w:val="20"/>
                <w:lang w:eastAsia="zh-CN"/>
              </w:rPr>
              <w:t>机关</w:t>
            </w:r>
          </w:p>
        </w:tc>
      </w:tr>
      <w:tr>
        <w:tblPrEx>
          <w:tblCellMar>
            <w:top w:w="0" w:type="dxa"/>
            <w:left w:w="108" w:type="dxa"/>
            <w:bottom w:w="0" w:type="dxa"/>
            <w:right w:w="108" w:type="dxa"/>
          </w:tblCellMar>
        </w:tblPrEx>
        <w:trPr>
          <w:trHeight w:val="581"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18"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3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96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2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310"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18"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43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5</w:t>
            </w:r>
          </w:p>
        </w:tc>
        <w:tc>
          <w:tcPr>
            <w:tcW w:w="96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4.86</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4.86</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p>
        </w:tc>
      </w:tr>
      <w:tr>
        <w:tblPrEx>
          <w:tblCellMar>
            <w:top w:w="0" w:type="dxa"/>
            <w:left w:w="108" w:type="dxa"/>
            <w:bottom w:w="0" w:type="dxa"/>
            <w:right w:w="108" w:type="dxa"/>
          </w:tblCellMar>
        </w:tblPrEx>
        <w:trPr>
          <w:trHeight w:val="249"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18"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43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96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40"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18"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43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96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44" w:hRule="atLeast"/>
          <w:jc w:val="center"/>
        </w:trPr>
        <w:tc>
          <w:tcPr>
            <w:tcW w:w="1077" w:type="dxa"/>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18"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431"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96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4.86</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4.86</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10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100</w:t>
            </w:r>
            <w:r>
              <w:rPr>
                <w:rFonts w:hint="default"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trHeight w:val="408"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1079"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贯彻落实市委、市政府决策部署，完整准确全面贯彻新发展理念，通过数字化、信息化手段，持续赋能工信领域管理效能提升，更好服务全市工业经济高质量发展大局。</w:t>
            </w:r>
            <w:r>
              <w:rPr>
                <w:rFonts w:hint="default" w:ascii="Times New Roman" w:hAnsi="Times New Roman" w:eastAsia="仿宋_GB2312" w:cs="Times New Roman"/>
                <w:color w:val="000000"/>
                <w:sz w:val="20"/>
                <w:szCs w:val="20"/>
              </w:rPr>
              <w:t>　　</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2024年，规上工业企业注册量2000家以上；企业问题办理满意率大于85%，平台持续蝶变升级，新增2个应用模块。</w:t>
            </w:r>
          </w:p>
        </w:tc>
      </w:tr>
      <w:tr>
        <w:tblPrEx>
          <w:tblCellMar>
            <w:top w:w="0" w:type="dxa"/>
            <w:left w:w="108" w:type="dxa"/>
            <w:bottom w:w="0" w:type="dxa"/>
            <w:right w:w="108" w:type="dxa"/>
          </w:tblCellMar>
        </w:tblPrEx>
        <w:trPr>
          <w:trHeight w:val="616" w:hRule="atLeast"/>
          <w:jc w:val="center"/>
        </w:trPr>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43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96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及改进措施</w:t>
            </w:r>
          </w:p>
        </w:tc>
      </w:tr>
      <w:tr>
        <w:tblPrEx>
          <w:tblCellMar>
            <w:top w:w="0" w:type="dxa"/>
            <w:left w:w="108" w:type="dxa"/>
            <w:bottom w:w="0" w:type="dxa"/>
            <w:right w:w="108" w:type="dxa"/>
          </w:tblCellMar>
        </w:tblPrEx>
        <w:trPr>
          <w:trHeight w:val="50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0分</w:t>
            </w:r>
            <w:r>
              <w:rPr>
                <w:rFonts w:hint="default" w:ascii="Times New Roman" w:hAnsi="Times New Roman" w:eastAsia="仿宋_GB2312" w:cs="Times New Roman"/>
                <w:color w:val="000000"/>
                <w:sz w:val="20"/>
                <w:szCs w:val="20"/>
                <w:lang w:eastAsia="zh-CN"/>
              </w:rPr>
              <w:t>）</w:t>
            </w:r>
          </w:p>
        </w:tc>
        <w:tc>
          <w:tcPr>
            <w:tcW w:w="1041"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数量指标</w:t>
            </w:r>
          </w:p>
        </w:tc>
        <w:tc>
          <w:tcPr>
            <w:tcW w:w="143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规模工业企业注册量</w:t>
            </w:r>
          </w:p>
        </w:tc>
        <w:tc>
          <w:tcPr>
            <w:tcW w:w="96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≥2000家</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≥2000家</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401"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41"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p>
        </w:tc>
        <w:tc>
          <w:tcPr>
            <w:tcW w:w="143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新增模块数</w:t>
            </w:r>
          </w:p>
        </w:tc>
        <w:tc>
          <w:tcPr>
            <w:tcW w:w="96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2个</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2个</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01"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41" w:type="dxa"/>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质量指标</w:t>
            </w:r>
          </w:p>
        </w:tc>
        <w:tc>
          <w:tcPr>
            <w:tcW w:w="14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96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0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43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资金拨付进度</w:t>
            </w:r>
          </w:p>
        </w:tc>
        <w:tc>
          <w:tcPr>
            <w:tcW w:w="96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lang w:val="en-US" w:eastAsia="zh-CN"/>
              </w:rPr>
              <w:t>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lang w:val="en-US" w:eastAsia="zh-CN"/>
              </w:rPr>
              <w:t>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0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（20分）</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43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规模工业增加值增速</w:t>
            </w:r>
          </w:p>
        </w:tc>
        <w:tc>
          <w:tcPr>
            <w:tcW w:w="96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lang w:val="en-US" w:eastAsia="zh-CN"/>
              </w:rPr>
              <w:t>7%</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10.4%</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lang w:val="en-US" w:eastAsia="zh-CN"/>
              </w:rPr>
              <w:t>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lang w:val="en-US" w:eastAsia="zh-CN"/>
              </w:rPr>
              <w:t>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0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43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规模工业企业发展能力</w:t>
            </w:r>
          </w:p>
        </w:tc>
        <w:tc>
          <w:tcPr>
            <w:tcW w:w="96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提升</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有效提升</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0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43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96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0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43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规模工业经济运行监测能力</w:t>
            </w:r>
          </w:p>
        </w:tc>
        <w:tc>
          <w:tcPr>
            <w:tcW w:w="96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提升</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有效提升</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752"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highlight w:val="none"/>
              </w:rPr>
              <w:t>（</w:t>
            </w:r>
            <w:r>
              <w:rPr>
                <w:rFonts w:hint="eastAsia" w:ascii="Times New Roman" w:hAnsi="Times New Roman" w:eastAsia="仿宋_GB2312" w:cs="Times New Roman"/>
                <w:color w:val="000000"/>
                <w:sz w:val="20"/>
                <w:szCs w:val="20"/>
                <w:highlight w:val="none"/>
                <w:lang w:val="en-US" w:eastAsia="zh-CN"/>
              </w:rPr>
              <w:t>1</w:t>
            </w:r>
            <w:r>
              <w:rPr>
                <w:rFonts w:hint="default" w:ascii="Times New Roman" w:hAnsi="Times New Roman" w:eastAsia="仿宋_GB2312" w:cs="Times New Roman"/>
                <w:color w:val="000000"/>
                <w:sz w:val="20"/>
                <w:szCs w:val="20"/>
                <w:highlight w:val="none"/>
                <w:lang w:val="en-US" w:eastAsia="zh-CN"/>
              </w:rPr>
              <w:t>0</w:t>
            </w:r>
            <w:r>
              <w:rPr>
                <w:rFonts w:hint="default" w:ascii="Times New Roman" w:hAnsi="Times New Roman" w:eastAsia="仿宋_GB2312" w:cs="Times New Roman"/>
                <w:color w:val="000000"/>
                <w:sz w:val="20"/>
                <w:szCs w:val="20"/>
                <w:highlight w:val="none"/>
              </w:rPr>
              <w:t>分</w:t>
            </w:r>
            <w:r>
              <w:rPr>
                <w:rFonts w:hint="default" w:ascii="Times New Roman" w:hAnsi="Times New Roman" w:eastAsia="仿宋_GB2312" w:cs="Times New Roman"/>
                <w:color w:val="000000"/>
                <w:sz w:val="20"/>
                <w:szCs w:val="20"/>
              </w:rPr>
              <w:t>）</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43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企业问题办理满意率</w:t>
            </w:r>
          </w:p>
        </w:tc>
        <w:tc>
          <w:tcPr>
            <w:tcW w:w="96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≥85%</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w:t>
            </w:r>
            <w:r>
              <w:rPr>
                <w:rFonts w:hint="eastAsia" w:ascii="Times New Roman" w:hAnsi="Times New Roman" w:eastAsia="仿宋_GB2312" w:cs="Times New Roman"/>
                <w:color w:val="000000"/>
                <w:sz w:val="20"/>
                <w:szCs w:val="20"/>
                <w:lang w:val="en-US" w:eastAsia="zh-CN"/>
              </w:rPr>
              <w:t>2</w:t>
            </w:r>
            <w:r>
              <w:rPr>
                <w:rFonts w:hint="default" w:ascii="Times New Roman" w:hAnsi="Times New Roman" w:eastAsia="仿宋_GB2312" w:cs="Times New Roman"/>
                <w:color w:val="000000"/>
                <w:sz w:val="20"/>
                <w:szCs w:val="20"/>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lang w:val="en-US" w:eastAsia="zh-CN"/>
              </w:rPr>
              <w:t>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lang w:val="en-US" w:eastAsia="zh-CN"/>
              </w:rPr>
              <w:t>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0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r>
              <w:rPr>
                <w:rFonts w:hint="eastAsia" w:ascii="Times New Roman" w:hAnsi="Times New Roman" w:eastAsia="仿宋_GB2312" w:cs="Times New Roman"/>
                <w:color w:val="000000"/>
                <w:sz w:val="20"/>
                <w:szCs w:val="20"/>
                <w:lang w:val="en-US" w:eastAsia="zh-CN"/>
              </w:rPr>
              <w:t>2</w:t>
            </w:r>
            <w:r>
              <w:rPr>
                <w:rFonts w:hint="default" w:ascii="Times New Roman" w:hAnsi="Times New Roman" w:eastAsia="仿宋_GB2312" w:cs="Times New Roman"/>
                <w:color w:val="000000"/>
                <w:sz w:val="20"/>
                <w:szCs w:val="20"/>
              </w:rPr>
              <w:t>0分）</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43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运营服务费用</w:t>
            </w:r>
          </w:p>
        </w:tc>
        <w:tc>
          <w:tcPr>
            <w:tcW w:w="96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≤5万元</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4.86万元</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0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96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31"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43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96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37" w:hRule="atLeast"/>
          <w:jc w:val="center"/>
        </w:trPr>
        <w:tc>
          <w:tcPr>
            <w:tcW w:w="6722"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r>
    </w:tbl>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安全生产委托技术服务经费</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1"/>
          <w:szCs w:val="41"/>
          <w:lang w:val="en-US" w:eastAsia="zh-CN" w:bidi="ar"/>
        </w:rPr>
        <w:t>绩效自评报告</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eastAsia="黑体" w:cs="Times New Roman"/>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一、预算收支出情况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0"/>
          <w:sz w:val="32"/>
          <w:szCs w:val="32"/>
          <w:highlight w:val="none"/>
          <w:lang w:bidi="ar"/>
        </w:rPr>
        <w:t>2024年预算</w:t>
      </w:r>
      <w:r>
        <w:rPr>
          <w:rFonts w:hint="eastAsia" w:ascii="Times New Roman" w:hAnsi="Times New Roman" w:eastAsia="仿宋_GB2312" w:cs="Times New Roman"/>
          <w:b w:val="0"/>
          <w:bCs w:val="0"/>
          <w:color w:val="000000"/>
          <w:kern w:val="0"/>
          <w:sz w:val="32"/>
          <w:szCs w:val="32"/>
          <w:highlight w:val="none"/>
          <w:lang w:eastAsia="zh-CN" w:bidi="ar"/>
        </w:rPr>
        <w:t>收入</w:t>
      </w:r>
      <w:r>
        <w:rPr>
          <w:rFonts w:hint="default" w:ascii="Times New Roman" w:hAnsi="Times New Roman" w:eastAsia="仿宋_GB2312" w:cs="Times New Roman"/>
          <w:b w:val="0"/>
          <w:bCs w:val="0"/>
          <w:color w:val="000000"/>
          <w:kern w:val="0"/>
          <w:sz w:val="32"/>
          <w:szCs w:val="32"/>
          <w:highlight w:val="none"/>
          <w:lang w:val="en-US" w:eastAsia="zh-CN" w:bidi="ar"/>
        </w:rPr>
        <w:t>9.55</w:t>
      </w:r>
      <w:r>
        <w:rPr>
          <w:rFonts w:hint="default" w:ascii="Times New Roman" w:hAnsi="Times New Roman" w:eastAsia="仿宋_GB2312" w:cs="Times New Roman"/>
          <w:b w:val="0"/>
          <w:bCs w:val="0"/>
          <w:color w:val="000000"/>
          <w:kern w:val="0"/>
          <w:sz w:val="32"/>
          <w:szCs w:val="32"/>
          <w:highlight w:val="none"/>
          <w:lang w:bidi="ar"/>
        </w:rPr>
        <w:t>万元，其中年初预算</w:t>
      </w:r>
      <w:r>
        <w:rPr>
          <w:rFonts w:hint="default" w:ascii="Times New Roman" w:hAnsi="Times New Roman" w:eastAsia="仿宋_GB2312" w:cs="Times New Roman"/>
          <w:b w:val="0"/>
          <w:bCs w:val="0"/>
          <w:color w:val="000000"/>
          <w:kern w:val="0"/>
          <w:sz w:val="32"/>
          <w:szCs w:val="32"/>
          <w:highlight w:val="none"/>
          <w:lang w:val="en-US" w:eastAsia="zh-CN" w:bidi="ar"/>
        </w:rPr>
        <w:t>19.1</w:t>
      </w:r>
      <w:r>
        <w:rPr>
          <w:rFonts w:hint="default" w:ascii="Times New Roman" w:hAnsi="Times New Roman" w:eastAsia="仿宋_GB2312" w:cs="Times New Roman"/>
          <w:b w:val="0"/>
          <w:bCs w:val="0"/>
          <w:color w:val="000000"/>
          <w:kern w:val="0"/>
          <w:sz w:val="32"/>
          <w:szCs w:val="32"/>
          <w:highlight w:val="none"/>
          <w:lang w:bidi="ar"/>
        </w:rPr>
        <w:t>万元，实际支出</w:t>
      </w:r>
      <w:r>
        <w:rPr>
          <w:rFonts w:hint="default" w:ascii="Times New Roman" w:hAnsi="Times New Roman" w:eastAsia="仿宋_GB2312" w:cs="Times New Roman"/>
          <w:b w:val="0"/>
          <w:bCs w:val="0"/>
          <w:color w:val="000000"/>
          <w:kern w:val="0"/>
          <w:sz w:val="32"/>
          <w:szCs w:val="32"/>
          <w:highlight w:val="none"/>
          <w:lang w:val="en-US" w:eastAsia="zh-CN" w:bidi="ar"/>
        </w:rPr>
        <w:t>9.55</w:t>
      </w:r>
      <w:r>
        <w:rPr>
          <w:rFonts w:hint="default" w:ascii="Times New Roman" w:hAnsi="Times New Roman" w:eastAsia="仿宋_GB2312" w:cs="Times New Roman"/>
          <w:b w:val="0"/>
          <w:bCs w:val="0"/>
          <w:color w:val="000000"/>
          <w:kern w:val="0"/>
          <w:sz w:val="32"/>
          <w:szCs w:val="32"/>
          <w:highlight w:val="none"/>
          <w:lang w:bidi="ar"/>
        </w:rPr>
        <w:t xml:space="preserve">万元。 </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二、项目支出绩效情况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sz w:val="32"/>
          <w:szCs w:val="32"/>
        </w:rPr>
        <w:t>为深入贯彻习近平总书记关于安全生产的重要论述和重要指示精神，按照</w:t>
      </w:r>
      <w:r>
        <w:rPr>
          <w:rFonts w:hint="eastAsia" w:ascii="Times New Roman" w:hAnsi="Times New Roman" w:eastAsia="仿宋_GB2312" w:cs="Times New Roman"/>
          <w:sz w:val="32"/>
          <w:szCs w:val="32"/>
          <w:lang w:eastAsia="zh-CN"/>
        </w:rPr>
        <w:t>新《安全生产法》</w:t>
      </w:r>
      <w:r>
        <w:rPr>
          <w:rFonts w:hint="default" w:ascii="Times New Roman" w:hAnsi="Times New Roman" w:eastAsia="仿宋_GB2312" w:cs="Times New Roman"/>
          <w:sz w:val="32"/>
          <w:szCs w:val="32"/>
        </w:rPr>
        <w:t>“管行业必须管安全，管业务必须管安全，管生产经营必须管安全”</w:t>
      </w:r>
      <w:r>
        <w:rPr>
          <w:rFonts w:hint="eastAsia" w:ascii="Times New Roman" w:hAnsi="Times New Roman" w:eastAsia="仿宋_GB2312" w:cs="Times New Roman"/>
          <w:sz w:val="32"/>
          <w:szCs w:val="32"/>
          <w:lang w:eastAsia="zh-CN"/>
        </w:rPr>
        <w:t>和《湖南省安全生产条例》的要求</w:t>
      </w:r>
      <w:r>
        <w:rPr>
          <w:rFonts w:hint="default" w:ascii="Times New Roman" w:hAnsi="Times New Roman" w:eastAsia="仿宋_GB2312" w:cs="Times New Roman"/>
          <w:sz w:val="32"/>
          <w:szCs w:val="32"/>
        </w:rPr>
        <w:t>，为更好履行行业主管部门安全生产监管职责，配强安全生产工作力量，加强工业企业安全生产管理，对全市工业企业和工业园区进行安全隐患排查、治理、通过精准施策消除安全隐患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0"/>
          <w:sz w:val="31"/>
          <w:szCs w:val="31"/>
          <w:lang w:val="en-US" w:eastAsia="zh-CN" w:bidi="ar"/>
        </w:rPr>
        <w:t>项目实施及绩效情况如下：</w:t>
      </w:r>
    </w:p>
    <w:p>
      <w:pPr>
        <w:keepNext w:val="0"/>
        <w:keepLines w:val="0"/>
        <w:pageBreakBefore w:val="0"/>
        <w:widowControl w:val="0"/>
        <w:kinsoku/>
        <w:wordWrap/>
        <w:overflowPunct/>
        <w:topLinePunct w:val="0"/>
        <w:autoSpaceDE/>
        <w:autoSpaceDN/>
        <w:bidi w:val="0"/>
        <w:adjustRightInd/>
        <w:snapToGrid/>
        <w:spacing w:after="0" w:line="578"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利用成效分析</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通过专项资金的高效使用，按照省、市</w:t>
      </w:r>
      <w:r>
        <w:rPr>
          <w:rFonts w:hint="eastAsia" w:ascii="Times New Roman" w:hAnsi="Times New Roman" w:eastAsia="仿宋_GB2312" w:cs="Times New Roman"/>
          <w:sz w:val="32"/>
          <w:szCs w:val="32"/>
          <w:lang w:eastAsia="zh-CN"/>
        </w:rPr>
        <w:t>工作部署要求，</w:t>
      </w:r>
      <w:r>
        <w:rPr>
          <w:rFonts w:hint="default" w:ascii="Times New Roman" w:hAnsi="Times New Roman" w:eastAsia="仿宋_GB2312" w:cs="Times New Roman"/>
          <w:sz w:val="32"/>
          <w:szCs w:val="32"/>
        </w:rPr>
        <w:t>多措并举加强工业行业领域安全生产工作，及时消除各类安全隐患，确保了工业企业安全生产形势平稳。</w:t>
      </w:r>
    </w:p>
    <w:p>
      <w:pPr>
        <w:keepNext w:val="0"/>
        <w:keepLines w:val="0"/>
        <w:pageBreakBefore w:val="0"/>
        <w:widowControl w:val="0"/>
        <w:kinsoku/>
        <w:wordWrap/>
        <w:overflowPunct/>
        <w:topLinePunct w:val="0"/>
        <w:autoSpaceDE/>
        <w:autoSpaceDN/>
        <w:bidi w:val="0"/>
        <w:adjustRightInd/>
        <w:snapToGrid/>
        <w:spacing w:after="0" w:line="578"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加强企业培训隐患排查</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通过专家上门服务，有效防范化解企业安全风险隐患，组织开展各类安全生产检查，</w:t>
      </w:r>
      <w:r>
        <w:rPr>
          <w:rFonts w:hint="default" w:ascii="Times New Roman" w:hAnsi="Times New Roman" w:eastAsia="仿宋_GB2312" w:cs="Times New Roman"/>
          <w:sz w:val="32"/>
          <w:szCs w:val="32"/>
        </w:rPr>
        <w:t>持续开展培训宣传教育2次</w:t>
      </w:r>
      <w:r>
        <w:rPr>
          <w:rFonts w:hint="default" w:ascii="Times New Roman" w:hAnsi="Times New Roman" w:eastAsia="仿宋_GB2312" w:cs="Times New Roman"/>
          <w:sz w:val="32"/>
          <w:szCs w:val="32"/>
          <w:lang w:eastAsia="zh-CN"/>
        </w:rPr>
        <w:t>，安全生产月期间在园区悬挂横幅200条，发放宣传小手册5000份</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全面推进工业企业安全生产主体责任落实，坚决杜绝重特大事故和防范较大事故发生。</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小标宋简体" w:cs="Times New Roman"/>
          <w:color w:val="000000"/>
          <w:kern w:val="0"/>
          <w:sz w:val="41"/>
          <w:szCs w:val="41"/>
          <w:lang w:val="en-US" w:eastAsia="zh-CN" w:bidi="ar"/>
        </w:rPr>
        <w:sectPr>
          <w:footerReference r:id="rId18" w:type="default"/>
          <w:pgSz w:w="11906" w:h="16838"/>
          <w:pgMar w:top="1984" w:right="1531" w:bottom="1701" w:left="1531" w:header="851" w:footer="1588" w:gutter="0"/>
          <w:cols w:space="720" w:num="1"/>
          <w:docGrid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2024年度项目支出绩效自评表</w:t>
      </w:r>
    </w:p>
    <w:tbl>
      <w:tblPr>
        <w:tblStyle w:val="22"/>
        <w:tblW w:w="9839" w:type="dxa"/>
        <w:jc w:val="center"/>
        <w:tblLayout w:type="autofit"/>
        <w:tblCellMar>
          <w:top w:w="0" w:type="dxa"/>
          <w:left w:w="108" w:type="dxa"/>
          <w:bottom w:w="0" w:type="dxa"/>
          <w:right w:w="108" w:type="dxa"/>
        </w:tblCellMar>
      </w:tblPr>
      <w:tblGrid>
        <w:gridCol w:w="1077"/>
        <w:gridCol w:w="1077"/>
        <w:gridCol w:w="1025"/>
        <w:gridCol w:w="1276"/>
        <w:gridCol w:w="1135"/>
        <w:gridCol w:w="1308"/>
        <w:gridCol w:w="650"/>
        <w:gridCol w:w="871"/>
        <w:gridCol w:w="1420"/>
      </w:tblGrid>
      <w:tr>
        <w:tblPrEx>
          <w:tblCellMar>
            <w:top w:w="0" w:type="dxa"/>
            <w:left w:w="108" w:type="dxa"/>
            <w:bottom w:w="0" w:type="dxa"/>
            <w:right w:w="108" w:type="dxa"/>
          </w:tblCellMar>
        </w:tblPrEx>
        <w:trPr>
          <w:trHeight w:val="348"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62"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安全生产委托技术服务经费</w:t>
            </w:r>
          </w:p>
        </w:tc>
      </w:tr>
      <w:tr>
        <w:tblPrEx>
          <w:tblCellMar>
            <w:top w:w="0" w:type="dxa"/>
            <w:left w:w="108" w:type="dxa"/>
            <w:bottom w:w="0" w:type="dxa"/>
            <w:right w:w="108" w:type="dxa"/>
          </w:tblCellMar>
        </w:tblPrEx>
        <w:trPr>
          <w:trHeight w:val="398" w:hRule="atLeast"/>
          <w:jc w:val="center"/>
        </w:trPr>
        <w:tc>
          <w:tcPr>
            <w:tcW w:w="107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3" w:type="dxa"/>
            <w:gridSpan w:val="4"/>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株洲市工业和信息化局</w:t>
            </w:r>
          </w:p>
        </w:tc>
        <w:tc>
          <w:tcPr>
            <w:tcW w:w="1308"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941"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株洲市工业和信息化局</w:t>
            </w:r>
            <w:r>
              <w:rPr>
                <w:rFonts w:hint="eastAsia" w:ascii="Times New Roman" w:hAnsi="Times New Roman" w:eastAsia="仿宋_GB2312" w:cs="Times New Roman"/>
                <w:color w:val="000000"/>
                <w:sz w:val="20"/>
                <w:szCs w:val="20"/>
                <w:lang w:val="en-US" w:eastAsia="zh-CN"/>
              </w:rPr>
              <w:t>机关</w:t>
            </w:r>
          </w:p>
        </w:tc>
      </w:tr>
      <w:tr>
        <w:tblPrEx>
          <w:tblCellMar>
            <w:top w:w="0" w:type="dxa"/>
            <w:left w:w="108" w:type="dxa"/>
            <w:bottom w:w="0" w:type="dxa"/>
            <w:right w:w="108" w:type="dxa"/>
          </w:tblCellMar>
        </w:tblPrEx>
        <w:trPr>
          <w:trHeight w:val="554"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02"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30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65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2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460"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02"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19.1</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9.55</w:t>
            </w:r>
          </w:p>
        </w:tc>
        <w:tc>
          <w:tcPr>
            <w:tcW w:w="130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9.55</w:t>
            </w:r>
          </w:p>
        </w:tc>
        <w:tc>
          <w:tcPr>
            <w:tcW w:w="6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22"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02"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30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6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02"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30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6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02"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19.1</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9.55</w:t>
            </w:r>
          </w:p>
        </w:tc>
        <w:tc>
          <w:tcPr>
            <w:tcW w:w="130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9.55</w:t>
            </w:r>
          </w:p>
        </w:tc>
        <w:tc>
          <w:tcPr>
            <w:tcW w:w="6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trHeight w:val="386"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1018"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按照新《安全生产法》“管行业必须管安全、管业务必须管安全、管生产必须管安全”要求，对工信系统所管辖企业更精准的消除安全生产隐患，进一步提高我市工信领域企业安全生产管理水平。</w:t>
            </w:r>
            <w:r>
              <w:rPr>
                <w:rFonts w:hint="default" w:ascii="Times New Roman" w:hAnsi="Times New Roman" w:eastAsia="仿宋_GB2312" w:cs="Times New Roman"/>
                <w:color w:val="000000"/>
                <w:sz w:val="20"/>
                <w:szCs w:val="20"/>
              </w:rPr>
              <w:t>　　</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确保了2024年工业行业安全生产形势平稳。</w:t>
            </w:r>
          </w:p>
        </w:tc>
      </w:tr>
      <w:tr>
        <w:tblPrEx>
          <w:tblCellMar>
            <w:top w:w="0" w:type="dxa"/>
            <w:left w:w="108" w:type="dxa"/>
            <w:bottom w:w="0" w:type="dxa"/>
            <w:right w:w="108" w:type="dxa"/>
          </w:tblCellMar>
        </w:tblPrEx>
        <w:trPr>
          <w:trHeight w:val="588" w:hRule="atLeast"/>
          <w:jc w:val="center"/>
        </w:trPr>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3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6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及改进措施</w:t>
            </w:r>
          </w:p>
        </w:tc>
      </w:tr>
      <w:tr>
        <w:tblPrEx>
          <w:tblCellMar>
            <w:top w:w="0" w:type="dxa"/>
            <w:left w:w="108" w:type="dxa"/>
            <w:bottom w:w="0" w:type="dxa"/>
            <w:right w:w="108" w:type="dxa"/>
          </w:tblCellMar>
        </w:tblPrEx>
        <w:trPr>
          <w:trHeight w:val="90"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40分</w:t>
            </w:r>
            <w:r>
              <w:rPr>
                <w:rFonts w:hint="default" w:ascii="Times New Roman" w:hAnsi="Times New Roman" w:eastAsia="仿宋_GB2312" w:cs="Times New Roman"/>
                <w:color w:val="000000"/>
                <w:sz w:val="20"/>
                <w:szCs w:val="20"/>
                <w:lang w:eastAsia="zh-CN"/>
              </w:rPr>
              <w:t>）</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联合区县督导</w:t>
            </w:r>
            <w:r>
              <w:rPr>
                <w:rFonts w:hint="default" w:ascii="Times New Roman" w:hAnsi="Times New Roman" w:eastAsia="仿宋_GB2312" w:cs="Times New Roman"/>
                <w:color w:val="000000"/>
                <w:kern w:val="2"/>
                <w:sz w:val="20"/>
                <w:szCs w:val="20"/>
                <w:lang w:val="en-US" w:eastAsia="zh-CN" w:bidi="ar-SA"/>
              </w:rPr>
              <w:t>工业企业</w:t>
            </w:r>
            <w:r>
              <w:rPr>
                <w:rFonts w:hint="eastAsia" w:ascii="Times New Roman" w:hAnsi="Times New Roman" w:eastAsia="仿宋_GB2312" w:cs="Times New Roman"/>
                <w:color w:val="000000"/>
                <w:kern w:val="2"/>
                <w:sz w:val="20"/>
                <w:szCs w:val="20"/>
                <w:lang w:val="en-US" w:eastAsia="zh-CN" w:bidi="ar-SA"/>
              </w:rPr>
              <w:t>数</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东文宋体" w:hAnsi="东文宋体" w:eastAsia="东文宋体" w:cs="东文宋体"/>
                <w:color w:val="000000"/>
                <w:sz w:val="20"/>
                <w:szCs w:val="20"/>
                <w:highlight w:val="none"/>
                <w:lang w:val="en-US" w:eastAsia="zh-CN"/>
              </w:rPr>
              <w:t>≥</w:t>
            </w:r>
            <w:r>
              <w:rPr>
                <w:rFonts w:hint="eastAsia" w:ascii="Times New Roman" w:hAnsi="Times New Roman" w:eastAsia="仿宋_GB2312" w:cs="Times New Roman"/>
                <w:color w:val="000000"/>
                <w:sz w:val="20"/>
                <w:szCs w:val="20"/>
                <w:lang w:val="en-US" w:eastAsia="zh-CN"/>
              </w:rPr>
              <w:t>500</w:t>
            </w:r>
            <w:r>
              <w:rPr>
                <w:rFonts w:hint="default" w:ascii="Times New Roman" w:hAnsi="Times New Roman" w:eastAsia="仿宋_GB2312" w:cs="Times New Roman"/>
                <w:color w:val="000000"/>
                <w:sz w:val="20"/>
                <w:szCs w:val="20"/>
              </w:rPr>
              <w:t>家</w:t>
            </w:r>
          </w:p>
        </w:tc>
        <w:tc>
          <w:tcPr>
            <w:tcW w:w="13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东文宋体" w:hAnsi="东文宋体" w:eastAsia="东文宋体" w:cs="东文宋体"/>
                <w:color w:val="000000"/>
                <w:sz w:val="20"/>
                <w:szCs w:val="20"/>
                <w:highlight w:val="none"/>
                <w:lang w:val="en-US" w:eastAsia="zh-CN"/>
              </w:rPr>
              <w:t>≥</w:t>
            </w:r>
            <w:r>
              <w:rPr>
                <w:rFonts w:hint="eastAsia" w:ascii="Times New Roman" w:hAnsi="Times New Roman" w:eastAsia="仿宋_GB2312" w:cs="Times New Roman"/>
                <w:color w:val="000000"/>
                <w:sz w:val="20"/>
                <w:szCs w:val="20"/>
                <w:lang w:val="en-US" w:eastAsia="zh-CN"/>
              </w:rPr>
              <w:t>500</w:t>
            </w:r>
            <w:r>
              <w:rPr>
                <w:rFonts w:hint="default" w:ascii="Times New Roman" w:hAnsi="Times New Roman" w:eastAsia="仿宋_GB2312" w:cs="Times New Roman"/>
                <w:color w:val="000000"/>
                <w:sz w:val="20"/>
                <w:szCs w:val="20"/>
              </w:rPr>
              <w:t>家</w:t>
            </w:r>
          </w:p>
        </w:tc>
        <w:tc>
          <w:tcPr>
            <w:tcW w:w="6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2"/>
                <w:sz w:val="20"/>
                <w:szCs w:val="20"/>
                <w:lang w:val="en-US" w:eastAsia="zh-CN" w:bidi="ar-SA"/>
              </w:rPr>
              <w:t>督促企业隐患限时整改率</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东文宋体" w:hAnsi="东文宋体" w:eastAsia="东文宋体" w:cs="东文宋体"/>
                <w:color w:val="000000"/>
                <w:sz w:val="20"/>
                <w:szCs w:val="20"/>
                <w:highlight w:val="none"/>
                <w:lang w:val="en-US" w:eastAsia="zh-CN"/>
              </w:rPr>
              <w:t>≥</w:t>
            </w:r>
            <w:r>
              <w:rPr>
                <w:rFonts w:hint="eastAsia" w:ascii="Times New Roman" w:hAnsi="Times New Roman" w:eastAsia="仿宋_GB2312" w:cs="Times New Roman"/>
                <w:color w:val="000000"/>
                <w:sz w:val="20"/>
                <w:szCs w:val="20"/>
                <w:lang w:val="en-US" w:eastAsia="zh-CN"/>
              </w:rPr>
              <w:t>90%</w:t>
            </w:r>
          </w:p>
        </w:tc>
        <w:tc>
          <w:tcPr>
            <w:tcW w:w="13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99%</w:t>
            </w:r>
          </w:p>
        </w:tc>
        <w:tc>
          <w:tcPr>
            <w:tcW w:w="6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按财政要求及时拨付资金</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=100%</w:t>
            </w:r>
          </w:p>
        </w:tc>
        <w:tc>
          <w:tcPr>
            <w:tcW w:w="13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100%</w:t>
            </w:r>
          </w:p>
        </w:tc>
        <w:tc>
          <w:tcPr>
            <w:tcW w:w="6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（20分）</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排查隐患</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val="en-US" w:eastAsia="zh-CN"/>
              </w:rPr>
              <w:t>减少事故率</w:t>
            </w:r>
          </w:p>
        </w:tc>
        <w:tc>
          <w:tcPr>
            <w:tcW w:w="13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成效明显</w:t>
            </w:r>
          </w:p>
        </w:tc>
        <w:tc>
          <w:tcPr>
            <w:tcW w:w="6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遏制较大以上安全生产事故</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东文宋体" w:hAnsi="东文宋体" w:eastAsia="东文宋体" w:cs="东文宋体"/>
                <w:color w:val="000000"/>
                <w:sz w:val="20"/>
                <w:szCs w:val="20"/>
                <w:lang w:val="en-US" w:eastAsia="zh-CN"/>
              </w:rPr>
              <w:t>≤</w:t>
            </w:r>
            <w:r>
              <w:rPr>
                <w:rFonts w:hint="eastAsia" w:ascii="Times New Roman" w:hAnsi="Times New Roman" w:eastAsia="仿宋_GB2312" w:cs="Times New Roman"/>
                <w:color w:val="000000"/>
                <w:sz w:val="20"/>
                <w:szCs w:val="20"/>
                <w:lang w:val="en-US" w:eastAsia="zh-CN"/>
              </w:rPr>
              <w:t>0起</w:t>
            </w:r>
          </w:p>
        </w:tc>
        <w:tc>
          <w:tcPr>
            <w:tcW w:w="13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0起</w:t>
            </w:r>
          </w:p>
        </w:tc>
        <w:tc>
          <w:tcPr>
            <w:tcW w:w="6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lang w:val="en-US" w:eastAsia="zh-CN"/>
              </w:rPr>
              <w:t>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lang w:val="en-US" w:eastAsia="zh-CN"/>
              </w:rPr>
              <w:t>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79" w:hRule="exac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3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6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为企业上门服务</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提升</w:t>
            </w:r>
            <w:r>
              <w:rPr>
                <w:rFonts w:hint="default" w:ascii="Times New Roman" w:hAnsi="Times New Roman" w:eastAsia="仿宋_GB2312" w:cs="Times New Roman"/>
                <w:color w:val="000000"/>
                <w:sz w:val="20"/>
                <w:szCs w:val="20"/>
                <w:lang w:val="en-US" w:eastAsia="zh-CN"/>
              </w:rPr>
              <w:t>企业生产安全管理</w:t>
            </w:r>
            <w:r>
              <w:rPr>
                <w:rFonts w:hint="eastAsia" w:ascii="Times New Roman" w:hAnsi="Times New Roman" w:eastAsia="仿宋_GB2312" w:cs="Times New Roman"/>
                <w:color w:val="000000"/>
                <w:sz w:val="20"/>
                <w:szCs w:val="20"/>
                <w:lang w:val="en-US" w:eastAsia="zh-CN"/>
              </w:rPr>
              <w:t>能力</w:t>
            </w:r>
            <w:r>
              <w:rPr>
                <w:rFonts w:hint="default" w:ascii="Times New Roman" w:hAnsi="Times New Roman" w:eastAsia="仿宋_GB2312" w:cs="Times New Roman"/>
                <w:color w:val="000000"/>
                <w:sz w:val="20"/>
                <w:szCs w:val="20"/>
                <w:lang w:val="en-US" w:eastAsia="zh-CN"/>
              </w:rPr>
              <w:t>和效率</w:t>
            </w:r>
          </w:p>
        </w:tc>
        <w:tc>
          <w:tcPr>
            <w:tcW w:w="13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成效明显</w:t>
            </w:r>
          </w:p>
        </w:tc>
        <w:tc>
          <w:tcPr>
            <w:tcW w:w="6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1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服务对象满意度</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eastAsia" w:ascii="东文宋体" w:hAnsi="东文宋体" w:eastAsia="东文宋体" w:cs="东文宋体"/>
                <w:color w:val="000000"/>
                <w:sz w:val="20"/>
                <w:szCs w:val="20"/>
                <w:highlight w:val="none"/>
                <w:lang w:val="en-US" w:eastAsia="zh-CN"/>
              </w:rPr>
              <w:t>≥</w:t>
            </w:r>
            <w:r>
              <w:rPr>
                <w:rFonts w:hint="default" w:ascii="Times New Roman" w:hAnsi="Times New Roman" w:eastAsia="仿宋_GB2312" w:cs="Times New Roman"/>
                <w:color w:val="000000"/>
                <w:sz w:val="20"/>
                <w:szCs w:val="20"/>
                <w:highlight w:val="none"/>
                <w:lang w:val="en-US" w:eastAsia="zh-CN"/>
              </w:rPr>
              <w:t>85%</w:t>
            </w:r>
          </w:p>
        </w:tc>
        <w:tc>
          <w:tcPr>
            <w:tcW w:w="13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rPr>
            </w:pPr>
            <w:r>
              <w:rPr>
                <w:rFonts w:hint="eastAsia" w:ascii="Times New Roman" w:hAnsi="Times New Roman" w:eastAsia="仿宋_GB2312" w:cs="Times New Roman"/>
                <w:color w:val="000000"/>
                <w:sz w:val="20"/>
                <w:szCs w:val="20"/>
                <w:highlight w:val="none"/>
                <w:lang w:val="en-US" w:eastAsia="zh-CN"/>
              </w:rPr>
              <w:t>100%</w:t>
            </w:r>
          </w:p>
        </w:tc>
        <w:tc>
          <w:tcPr>
            <w:tcW w:w="6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成本指标（20分）</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eastAsia="zh-CN"/>
              </w:rPr>
              <w:t>聘请第三方服务经费</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≤19.2万元</w:t>
            </w:r>
          </w:p>
        </w:tc>
        <w:tc>
          <w:tcPr>
            <w:tcW w:w="13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9.55万元</w:t>
            </w:r>
          </w:p>
        </w:tc>
        <w:tc>
          <w:tcPr>
            <w:tcW w:w="6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按照合同约定进度付款，已付</w:t>
            </w:r>
            <w:r>
              <w:rPr>
                <w:rFonts w:hint="eastAsia" w:ascii="Times New Roman" w:hAnsi="Times New Roman" w:eastAsia="仿宋_GB2312" w:cs="Times New Roman"/>
                <w:color w:val="000000"/>
                <w:sz w:val="20"/>
                <w:szCs w:val="20"/>
                <w:lang w:val="en-US" w:eastAsia="zh-CN"/>
              </w:rPr>
              <w:t>50%款项。</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w:t>
            </w:r>
          </w:p>
        </w:tc>
        <w:tc>
          <w:tcPr>
            <w:tcW w:w="13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6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07" w:hRule="atLeast"/>
          <w:jc w:val="center"/>
        </w:trPr>
        <w:tc>
          <w:tcPr>
            <w:tcW w:w="6898"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r>
    </w:tbl>
    <w:p>
      <w:pPr>
        <w:tabs>
          <w:tab w:val="left" w:pos="7560"/>
        </w:tabs>
        <w:adjustRightInd w:val="0"/>
        <w:snapToGrid w:val="0"/>
        <w:spacing w:line="560" w:lineRule="exact"/>
        <w:jc w:val="left"/>
        <w:rPr>
          <w:rFonts w:hint="default" w:ascii="Times New Roman" w:hAnsi="Times New Roman" w:eastAsia="仿宋_GB2312" w:cs="Times New Roman"/>
          <w:sz w:val="28"/>
          <w:szCs w:val="28"/>
        </w:rPr>
        <w:sectPr>
          <w:pgSz w:w="11906" w:h="16838"/>
          <w:pgMar w:top="1984" w:right="1531" w:bottom="1701" w:left="1531" w:header="851" w:footer="1587" w:gutter="0"/>
          <w:cols w:space="720" w:num="1"/>
          <w:rtlGutter w:val="0"/>
          <w:docGrid w:linePitch="312" w:charSpace="0"/>
        </w:sectPr>
      </w:pP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第五次经济普查工业企业生产经营状况调查</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1"/>
          <w:szCs w:val="41"/>
          <w:lang w:val="en-US" w:eastAsia="zh-CN" w:bidi="ar"/>
        </w:rPr>
        <w:t>服务经费绩效自评报告</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楷体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一、预算收支出情况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0"/>
          <w:sz w:val="32"/>
          <w:szCs w:val="32"/>
          <w:highlight w:val="none"/>
          <w:lang w:bidi="ar"/>
        </w:rPr>
        <w:t>2024年预算</w:t>
      </w:r>
      <w:r>
        <w:rPr>
          <w:rFonts w:hint="default" w:ascii="Times New Roman" w:hAnsi="Times New Roman" w:eastAsia="仿宋_GB2312" w:cs="Times New Roman"/>
          <w:b w:val="0"/>
          <w:bCs w:val="0"/>
          <w:color w:val="000000"/>
          <w:kern w:val="0"/>
          <w:sz w:val="32"/>
          <w:szCs w:val="32"/>
          <w:highlight w:val="none"/>
          <w:lang w:val="en-US" w:eastAsia="zh-CN" w:bidi="ar"/>
        </w:rPr>
        <w:t>8</w:t>
      </w:r>
      <w:r>
        <w:rPr>
          <w:rFonts w:hint="default" w:ascii="Times New Roman" w:hAnsi="Times New Roman" w:eastAsia="仿宋_GB2312" w:cs="Times New Roman"/>
          <w:b w:val="0"/>
          <w:bCs w:val="0"/>
          <w:color w:val="000000"/>
          <w:kern w:val="0"/>
          <w:sz w:val="32"/>
          <w:szCs w:val="32"/>
          <w:highlight w:val="none"/>
          <w:lang w:bidi="ar"/>
        </w:rPr>
        <w:t>万元，其中年初预算</w:t>
      </w:r>
      <w:r>
        <w:rPr>
          <w:rFonts w:hint="eastAsia" w:ascii="Times New Roman" w:hAnsi="Times New Roman" w:eastAsia="仿宋_GB2312" w:cs="Times New Roman"/>
          <w:b w:val="0"/>
          <w:bCs w:val="0"/>
          <w:color w:val="000000"/>
          <w:kern w:val="0"/>
          <w:sz w:val="32"/>
          <w:szCs w:val="32"/>
          <w:highlight w:val="none"/>
          <w:lang w:val="en-US" w:eastAsia="zh-CN" w:bidi="ar"/>
        </w:rPr>
        <w:t>8</w:t>
      </w:r>
      <w:r>
        <w:rPr>
          <w:rFonts w:hint="default" w:ascii="Times New Roman" w:hAnsi="Times New Roman" w:eastAsia="仿宋_GB2312" w:cs="Times New Roman"/>
          <w:b w:val="0"/>
          <w:bCs w:val="0"/>
          <w:color w:val="000000"/>
          <w:kern w:val="0"/>
          <w:sz w:val="32"/>
          <w:szCs w:val="32"/>
          <w:highlight w:val="none"/>
          <w:lang w:bidi="ar"/>
        </w:rPr>
        <w:t>万元，实际支出</w:t>
      </w:r>
      <w:r>
        <w:rPr>
          <w:rFonts w:hint="default" w:ascii="Times New Roman" w:hAnsi="Times New Roman" w:eastAsia="仿宋_GB2312" w:cs="Times New Roman"/>
          <w:b w:val="0"/>
          <w:bCs w:val="0"/>
          <w:color w:val="000000"/>
          <w:kern w:val="0"/>
          <w:sz w:val="32"/>
          <w:szCs w:val="32"/>
          <w:highlight w:val="none"/>
          <w:lang w:val="en-US" w:eastAsia="zh-CN" w:bidi="ar"/>
        </w:rPr>
        <w:t>8</w:t>
      </w:r>
      <w:r>
        <w:rPr>
          <w:rFonts w:hint="default" w:ascii="Times New Roman" w:hAnsi="Times New Roman" w:eastAsia="仿宋_GB2312" w:cs="Times New Roman"/>
          <w:b w:val="0"/>
          <w:bCs w:val="0"/>
          <w:color w:val="000000"/>
          <w:kern w:val="0"/>
          <w:sz w:val="32"/>
          <w:szCs w:val="32"/>
          <w:highlight w:val="none"/>
          <w:lang w:bidi="ar"/>
        </w:rPr>
        <w:t xml:space="preserve">万元。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二、项目支出绩效情况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2024年第五次经济普查工业企业生产经营状况调查服务支出8万元。主要用于</w:t>
      </w:r>
      <w:r>
        <w:rPr>
          <w:rFonts w:hint="default" w:ascii="Times New Roman" w:hAnsi="Times New Roman" w:eastAsia="仿宋_GB2312" w:cs="Times New Roman"/>
          <w:sz w:val="32"/>
          <w:szCs w:val="32"/>
          <w:lang w:eastAsia="zh-CN"/>
        </w:rPr>
        <w:t>聘请第三方机构</w:t>
      </w:r>
      <w:r>
        <w:rPr>
          <w:rFonts w:hint="default" w:ascii="Times New Roman" w:hAnsi="Times New Roman" w:eastAsia="仿宋_GB2312" w:cs="Times New Roman"/>
          <w:sz w:val="32"/>
          <w:szCs w:val="32"/>
          <w:lang w:val="en-US" w:eastAsia="zh-CN"/>
        </w:rPr>
        <w:t>协助开展第五次经济普查相关工作，</w:t>
      </w:r>
      <w:r>
        <w:rPr>
          <w:rFonts w:hint="default" w:ascii="Times New Roman" w:hAnsi="Times New Roman" w:eastAsia="仿宋_GB2312" w:cs="Times New Roman"/>
          <w:sz w:val="32"/>
          <w:szCs w:val="32"/>
        </w:rPr>
        <w:t>安排具有丰富经验和相当技术职称的</w:t>
      </w:r>
      <w:r>
        <w:rPr>
          <w:rFonts w:hint="default" w:ascii="Times New Roman" w:hAnsi="Times New Roman" w:eastAsia="仿宋_GB2312" w:cs="Times New Roman"/>
          <w:sz w:val="32"/>
          <w:szCs w:val="32"/>
          <w:lang w:val="en-US" w:eastAsia="zh-CN"/>
        </w:rPr>
        <w:t>财务</w:t>
      </w:r>
      <w:r>
        <w:rPr>
          <w:rFonts w:hint="default" w:ascii="Times New Roman" w:hAnsi="Times New Roman" w:eastAsia="仿宋_GB2312" w:cs="Times New Roman"/>
          <w:sz w:val="32"/>
          <w:szCs w:val="32"/>
        </w:rPr>
        <w:t>专家</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调研工业企业生产经营状况</w:t>
      </w:r>
      <w:r>
        <w:rPr>
          <w:rFonts w:hint="default" w:ascii="Times New Roman" w:hAnsi="Times New Roman" w:eastAsia="仿宋_GB2312" w:cs="Times New Roman"/>
          <w:sz w:val="32"/>
          <w:szCs w:val="32"/>
        </w:rPr>
        <w:t>，辅导企业</w:t>
      </w:r>
      <w:r>
        <w:rPr>
          <w:rFonts w:hint="default" w:ascii="Times New Roman" w:hAnsi="Times New Roman" w:eastAsia="仿宋_GB2312" w:cs="Times New Roman"/>
          <w:sz w:val="32"/>
          <w:szCs w:val="32"/>
          <w:lang w:val="en-US" w:eastAsia="zh-CN"/>
        </w:rPr>
        <w:t>依法</w:t>
      </w:r>
      <w:r>
        <w:rPr>
          <w:rFonts w:hint="default" w:ascii="Times New Roman" w:hAnsi="Times New Roman" w:eastAsia="仿宋_GB2312" w:cs="Times New Roman"/>
          <w:sz w:val="32"/>
          <w:szCs w:val="32"/>
        </w:rPr>
        <w:t>依规应统尽统，不错报、不漏报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提高工业企业统计填报质量，真实准确反映株洲工业经济发展全貌。项目实施及绩效情况如下：</w:t>
      </w:r>
    </w:p>
    <w:p>
      <w:pPr>
        <w:pStyle w:val="6"/>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default" w:ascii="Times New Roman" w:hAnsi="Times New Roman" w:cs="Times New Roman"/>
          <w:sz w:val="32"/>
          <w:szCs w:val="32"/>
          <w:lang w:val="en-US" w:eastAsia="zh-CN"/>
        </w:rPr>
      </w:pPr>
      <w:r>
        <w:rPr>
          <w:rFonts w:hint="default" w:ascii="Times New Roman" w:hAnsi="Times New Roman" w:eastAsia="楷体" w:cs="Times New Roman"/>
          <w:b/>
          <w:bCs/>
          <w:sz w:val="32"/>
          <w:szCs w:val="32"/>
          <w:rtl w:val="0"/>
          <w:lang w:val="en-US" w:eastAsia="zh-CN"/>
        </w:rPr>
        <w:t>（一）</w:t>
      </w:r>
      <w:r>
        <w:rPr>
          <w:rFonts w:hint="default" w:ascii="Times New Roman" w:hAnsi="Times New Roman" w:eastAsia="楷体" w:cs="Times New Roman"/>
          <w:b/>
          <w:bCs/>
          <w:sz w:val="32"/>
          <w:szCs w:val="32"/>
          <w:lang w:val="en-US" w:eastAsia="zh-CN"/>
        </w:rPr>
        <w:t>五经普培训、辅导卓有成效</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针对工信系统开展了4场专业培训，内容主要为规上工业企业统计报表专题培训、工业企业劳动工资统计暨“五经普”专题培训。“一对一”走访辅导服务了84家规模工业企业，主要是向企业专职财务或统计人员讲解“五经普”报表的相关注意事项、指标取数逻辑等内容；并对企业填报的系统数据进行分析，对漏统漏报、错填错报等问题予以纠正辅导。</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（二）工业对GDP贡献大幅提高。</w:t>
      </w:r>
      <w:r>
        <w:rPr>
          <w:rFonts w:hint="default" w:ascii="Times New Roman" w:hAnsi="Times New Roman" w:eastAsia="仿宋_GB2312" w:cs="Times New Roman"/>
          <w:sz w:val="32"/>
          <w:szCs w:val="32"/>
          <w:lang w:val="en-US" w:eastAsia="zh-CN"/>
        </w:rPr>
        <w:t>2024年全市工业增加值1558.1亿元（五经普重新核定2023年工业增加值1444.5亿元），占GDP比重为39.9%，占比跃居全省第一位；对GDP贡献率为63.9%，同比提高23.5个百分点。</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default" w:ascii="Times New Roman" w:hAnsi="Times New Roman" w:eastAsia="仿宋_GB2312" w:cs="Times New Roman"/>
          <w:color w:val="000000"/>
          <w:sz w:val="32"/>
          <w:szCs w:val="32"/>
        </w:rPr>
        <w:sectPr>
          <w:footerReference r:id="rId19" w:type="default"/>
          <w:pgSz w:w="11906" w:h="16838"/>
          <w:pgMar w:top="1984" w:right="1531" w:bottom="1701" w:left="1531" w:header="851" w:footer="1588" w:gutter="0"/>
          <w:cols w:space="720" w:num="1"/>
          <w:docGrid w:linePitch="312" w:charSpace="0"/>
        </w:sectPr>
      </w:pPr>
      <w:r>
        <w:rPr>
          <w:rFonts w:hint="default" w:ascii="Times New Roman" w:hAnsi="Times New Roman" w:eastAsia="楷体" w:cs="Times New Roman"/>
          <w:b/>
          <w:bCs/>
          <w:sz w:val="32"/>
          <w:szCs w:val="32"/>
          <w:rtl w:val="0"/>
          <w:lang w:val="en-US" w:eastAsia="zh-CN"/>
        </w:rPr>
        <w:t>（三）工业高质量发展持续推进。</w:t>
      </w:r>
      <w:r>
        <w:rPr>
          <w:rFonts w:hint="default" w:ascii="Times New Roman" w:hAnsi="Times New Roman" w:eastAsia="仿宋_GB2312" w:cs="Times New Roman"/>
          <w:sz w:val="32"/>
          <w:szCs w:val="32"/>
          <w:lang w:val="en-US" w:eastAsia="zh-CN"/>
        </w:rPr>
        <w:t>2024年全市规模工业增加值增速为10.4%，</w:t>
      </w:r>
      <w:r>
        <w:rPr>
          <w:rFonts w:hint="default" w:ascii="Times New Roman" w:hAnsi="Times New Roman" w:eastAsia="仿宋_GB2312" w:cs="Times New Roman"/>
          <w:sz w:val="32"/>
          <w:szCs w:val="32"/>
        </w:rPr>
        <w:t>分别高于全国、全省平均增速</w:t>
      </w:r>
      <w:r>
        <w:rPr>
          <w:rFonts w:hint="default"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rPr>
        <w:t>个和</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个百分点，增速连续</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个月保持全省第一</w:t>
      </w:r>
      <w:r>
        <w:rPr>
          <w:rFonts w:hint="default" w:ascii="Times New Roman" w:hAnsi="Times New Roman" w:eastAsia="仿宋_GB2312" w:cs="Times New Roman"/>
          <w:sz w:val="32"/>
          <w:szCs w:val="32"/>
          <w:lang w:val="en-US" w:eastAsia="zh-CN"/>
        </w:rPr>
        <w:t>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此外，2024年</w:t>
      </w:r>
      <w:r>
        <w:rPr>
          <w:rFonts w:hint="default" w:ascii="Times New Roman" w:hAnsi="Times New Roman" w:eastAsia="仿宋_GB2312" w:cs="Times New Roman"/>
          <w:sz w:val="32"/>
          <w:szCs w:val="32"/>
        </w:rPr>
        <w:t>全市规模工业</w:t>
      </w:r>
      <w:r>
        <w:rPr>
          <w:rFonts w:hint="default" w:ascii="Times New Roman" w:hAnsi="Times New Roman" w:eastAsia="仿宋_GB2312" w:cs="Times New Roman"/>
          <w:sz w:val="32"/>
          <w:szCs w:val="32"/>
          <w:lang w:val="en-US" w:eastAsia="zh-CN"/>
        </w:rPr>
        <w:t>高技术</w:t>
      </w:r>
      <w:r>
        <w:rPr>
          <w:rFonts w:hint="default" w:ascii="Times New Roman" w:hAnsi="Times New Roman" w:eastAsia="仿宋_GB2312" w:cs="Times New Roman"/>
          <w:sz w:val="32"/>
          <w:szCs w:val="32"/>
        </w:rPr>
        <w:t>制造业增加值增长</w:t>
      </w:r>
      <w:r>
        <w:rPr>
          <w:rFonts w:hint="default" w:ascii="Times New Roman" w:hAnsi="Times New Roman" w:eastAsia="仿宋_GB2312" w:cs="Times New Roman"/>
          <w:sz w:val="32"/>
          <w:szCs w:val="32"/>
          <w:lang w:val="en-US" w:eastAsia="zh-CN"/>
        </w:rPr>
        <w:t>11.5</w:t>
      </w:r>
      <w:r>
        <w:rPr>
          <w:rFonts w:hint="default" w:ascii="Times New Roman" w:hAnsi="Times New Roman" w:eastAsia="仿宋_GB2312" w:cs="Times New Roman"/>
          <w:sz w:val="32"/>
          <w:szCs w:val="32"/>
        </w:rPr>
        <w:t>%，高于全市平均水平</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个百分点，</w:t>
      </w:r>
      <w:r>
        <w:rPr>
          <w:rFonts w:hint="default" w:ascii="Times New Roman" w:hAnsi="Times New Roman" w:eastAsia="仿宋_GB2312" w:cs="Times New Roman"/>
          <w:sz w:val="32"/>
          <w:szCs w:val="32"/>
          <w:lang w:eastAsia="zh-CN"/>
        </w:rPr>
        <w:t>工业高质量发展</w:t>
      </w:r>
      <w:r>
        <w:rPr>
          <w:rFonts w:hint="default" w:ascii="Times New Roman" w:hAnsi="Times New Roman" w:eastAsia="仿宋_GB2312" w:cs="Times New Roman"/>
          <w:sz w:val="32"/>
          <w:szCs w:val="32"/>
        </w:rPr>
        <w:t>持续推进。</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2024年度项目支出绩效自评表</w:t>
      </w:r>
    </w:p>
    <w:p>
      <w:pPr>
        <w:pStyle w:val="6"/>
        <w:rPr>
          <w:rFonts w:hint="default"/>
          <w:lang w:val="en-US" w:eastAsia="zh-CN"/>
        </w:rPr>
      </w:pPr>
    </w:p>
    <w:tbl>
      <w:tblPr>
        <w:tblStyle w:val="22"/>
        <w:tblW w:w="9839" w:type="dxa"/>
        <w:jc w:val="center"/>
        <w:tblLayout w:type="autofit"/>
        <w:tblCellMar>
          <w:top w:w="0" w:type="dxa"/>
          <w:left w:w="108" w:type="dxa"/>
          <w:bottom w:w="0" w:type="dxa"/>
          <w:right w:w="108" w:type="dxa"/>
        </w:tblCellMar>
      </w:tblPr>
      <w:tblGrid>
        <w:gridCol w:w="1077"/>
        <w:gridCol w:w="1077"/>
        <w:gridCol w:w="1079"/>
        <w:gridCol w:w="1222"/>
        <w:gridCol w:w="1135"/>
        <w:gridCol w:w="1132"/>
        <w:gridCol w:w="826"/>
        <w:gridCol w:w="871"/>
        <w:gridCol w:w="1420"/>
      </w:tblGrid>
      <w:tr>
        <w:tblPrEx>
          <w:tblCellMar>
            <w:top w:w="0" w:type="dxa"/>
            <w:left w:w="108" w:type="dxa"/>
            <w:bottom w:w="0" w:type="dxa"/>
            <w:right w:w="108" w:type="dxa"/>
          </w:tblCellMar>
        </w:tblPrEx>
        <w:trPr>
          <w:trHeight w:val="582"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62" w:type="dxa"/>
            <w:gridSpan w:val="8"/>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第五次经济普查工业企业生产经营状况调查服务经费</w:t>
            </w: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398" w:hRule="atLeast"/>
          <w:jc w:val="center"/>
        </w:trPr>
        <w:tc>
          <w:tcPr>
            <w:tcW w:w="107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3"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kern w:val="0"/>
                <w:szCs w:val="21"/>
                <w:lang w:val="en-US" w:eastAsia="zh-CN"/>
              </w:rPr>
              <w:t>株洲市工业和信息化局</w:t>
            </w:r>
          </w:p>
        </w:tc>
        <w:tc>
          <w:tcPr>
            <w:tcW w:w="1132"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7"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rPr>
            </w:pPr>
            <w:r>
              <w:rPr>
                <w:rFonts w:hint="eastAsia" w:ascii="Times New Roman" w:hAnsi="Times New Roman" w:eastAsia="仿宋_GB2312" w:cs="Times New Roman"/>
                <w:color w:val="000000"/>
                <w:kern w:val="0"/>
                <w:szCs w:val="21"/>
                <w:lang w:val="en-US" w:eastAsia="zh-CN"/>
              </w:rPr>
              <w:t>株洲市工业和信息化局机关</w:t>
            </w:r>
          </w:p>
        </w:tc>
      </w:tr>
      <w:tr>
        <w:tblPrEx>
          <w:tblCellMar>
            <w:top w:w="0" w:type="dxa"/>
            <w:left w:w="108" w:type="dxa"/>
            <w:bottom w:w="0" w:type="dxa"/>
            <w:right w:w="108" w:type="dxa"/>
          </w:tblCellMar>
        </w:tblPrEx>
        <w:trPr>
          <w:trHeight w:val="554"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2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460"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8</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8</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r>
      <w:tr>
        <w:tblPrEx>
          <w:tblCellMar>
            <w:top w:w="0" w:type="dxa"/>
            <w:left w:w="108" w:type="dxa"/>
            <w:bottom w:w="0" w:type="dxa"/>
            <w:right w:w="108" w:type="dxa"/>
          </w:tblCellMar>
        </w:tblPrEx>
        <w:trPr>
          <w:trHeight w:val="422"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2"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13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8</w:t>
            </w:r>
          </w:p>
        </w:tc>
        <w:tc>
          <w:tcPr>
            <w:tcW w:w="11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8</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trHeight w:val="386"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1018"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4513" w:type="dxa"/>
            <w:gridSpan w:val="4"/>
            <w:tcBorders>
              <w:top w:val="single" w:color="auto" w:sz="4" w:space="0"/>
              <w:left w:val="nil"/>
              <w:bottom w:val="single" w:color="auto" w:sz="4" w:space="0"/>
              <w:right w:val="single" w:color="000000"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贯彻市委、市政府决策部署，掌握工业企业生产经营状况，切实做好第五次经济普查相关工作，真实准确反映株洲工业经济发展全貌。</w:t>
            </w:r>
          </w:p>
        </w:tc>
        <w:tc>
          <w:tcPr>
            <w:tcW w:w="4249"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2024年，全市全市工业增加值1558.1亿元（五经普重新核定2023年工业增加值1444.5亿元），占GDP比重为39.9%，占比跃居全省第一位。</w:t>
            </w:r>
          </w:p>
        </w:tc>
      </w:tr>
      <w:tr>
        <w:tblPrEx>
          <w:tblCellMar>
            <w:top w:w="0" w:type="dxa"/>
            <w:left w:w="108" w:type="dxa"/>
            <w:bottom w:w="0" w:type="dxa"/>
            <w:right w:w="108" w:type="dxa"/>
          </w:tblCellMar>
        </w:tblPrEx>
        <w:trPr>
          <w:trHeight w:val="588" w:hRule="atLeast"/>
          <w:jc w:val="center"/>
        </w:trPr>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及改进措施</w:t>
            </w: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lang w:val="en-US" w:eastAsia="zh-CN"/>
              </w:rPr>
              <w:t>40</w:t>
            </w:r>
            <w:r>
              <w:rPr>
                <w:rFonts w:hint="default" w:ascii="Times New Roman" w:hAnsi="Times New Roman" w:eastAsia="仿宋_GB2312" w:cs="Times New Roman"/>
                <w:color w:val="000000"/>
                <w:sz w:val="20"/>
                <w:szCs w:val="20"/>
              </w:rPr>
              <w:t>分</w:t>
            </w:r>
            <w:r>
              <w:rPr>
                <w:rFonts w:hint="default" w:ascii="Times New Roman" w:hAnsi="Times New Roman" w:eastAsia="仿宋_GB2312" w:cs="Times New Roman"/>
                <w:color w:val="000000"/>
                <w:sz w:val="20"/>
                <w:szCs w:val="20"/>
                <w:lang w:eastAsia="zh-CN"/>
              </w:rPr>
              <w:t>）</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上门辅导规模工业企业</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东文宋体" w:hAnsi="东文宋体" w:eastAsia="东文宋体" w:cs="东文宋体"/>
                <w:color w:val="000000"/>
                <w:sz w:val="20"/>
                <w:szCs w:val="20"/>
                <w:lang w:val="en-US" w:eastAsia="zh-CN"/>
              </w:rPr>
              <w:t>≥</w:t>
            </w:r>
            <w:r>
              <w:rPr>
                <w:rFonts w:hint="default" w:ascii="Times New Roman" w:hAnsi="Times New Roman" w:eastAsia="仿宋_GB2312" w:cs="Times New Roman"/>
                <w:color w:val="000000"/>
                <w:sz w:val="20"/>
                <w:szCs w:val="20"/>
                <w:lang w:val="en-US" w:eastAsia="zh-CN"/>
              </w:rPr>
              <w:t>80家</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84家</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eastAsia="zh-CN"/>
              </w:rPr>
              <w:t>工业增加值占</w:t>
            </w:r>
            <w:r>
              <w:rPr>
                <w:rFonts w:hint="default" w:ascii="Times New Roman" w:hAnsi="Times New Roman" w:eastAsia="仿宋_GB2312" w:cs="Times New Roman"/>
                <w:color w:val="000000"/>
                <w:sz w:val="20"/>
                <w:szCs w:val="20"/>
                <w:lang w:val="en-US" w:eastAsia="zh-CN"/>
              </w:rPr>
              <w:t>GDP比重</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东文宋体" w:hAnsi="东文宋体" w:eastAsia="东文宋体" w:cs="东文宋体"/>
                <w:color w:val="000000"/>
                <w:sz w:val="20"/>
                <w:szCs w:val="20"/>
                <w:lang w:val="en-US" w:eastAsia="zh-CN"/>
              </w:rPr>
              <w:t>≥</w:t>
            </w:r>
            <w:r>
              <w:rPr>
                <w:rFonts w:hint="default" w:ascii="Times New Roman" w:hAnsi="Times New Roman" w:eastAsia="仿宋_GB2312" w:cs="Times New Roman"/>
                <w:color w:val="000000"/>
                <w:sz w:val="20"/>
                <w:szCs w:val="20"/>
                <w:lang w:val="en-US" w:eastAsia="zh-CN"/>
              </w:rPr>
              <w:t>37%</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39.9%</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资金拨付进度</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w:t>
            </w:r>
            <w:r>
              <w:rPr>
                <w:rFonts w:hint="eastAsia" w:ascii="Times New Roman" w:hAnsi="Times New Roman" w:eastAsia="仿宋_GB2312" w:cs="Times New Roman"/>
                <w:color w:val="000000"/>
                <w:sz w:val="20"/>
                <w:szCs w:val="20"/>
                <w:lang w:val="en-US" w:eastAsia="zh-CN"/>
              </w:rPr>
              <w:t>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w:t>
            </w:r>
            <w:r>
              <w:rPr>
                <w:rFonts w:hint="eastAsia" w:ascii="Times New Roman" w:hAnsi="Times New Roman" w:eastAsia="仿宋_GB2312" w:cs="Times New Roman"/>
                <w:color w:val="000000"/>
                <w:sz w:val="20"/>
                <w:szCs w:val="20"/>
                <w:lang w:val="en-US" w:eastAsia="zh-CN"/>
              </w:rPr>
              <w:t>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20</w:t>
            </w:r>
            <w:r>
              <w:rPr>
                <w:rFonts w:hint="default" w:ascii="Times New Roman" w:hAnsi="Times New Roman" w:eastAsia="仿宋_GB2312" w:cs="Times New Roman"/>
                <w:color w:val="000000"/>
                <w:sz w:val="20"/>
                <w:szCs w:val="20"/>
              </w:rPr>
              <w:t>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规模工业增加值增速</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东文宋体" w:hAnsi="东文宋体" w:eastAsia="东文宋体" w:cs="东文宋体"/>
                <w:color w:val="000000"/>
                <w:sz w:val="20"/>
                <w:szCs w:val="20"/>
                <w:lang w:val="en-US" w:eastAsia="zh-CN"/>
              </w:rPr>
              <w:t>≥</w:t>
            </w:r>
            <w:r>
              <w:rPr>
                <w:rFonts w:hint="default" w:ascii="Times New Roman" w:hAnsi="Times New Roman" w:eastAsia="仿宋_GB2312" w:cs="Times New Roman"/>
                <w:color w:val="000000"/>
                <w:sz w:val="20"/>
                <w:szCs w:val="20"/>
                <w:lang w:val="en-US" w:eastAsia="zh-CN"/>
              </w:rPr>
              <w:t>7%</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10.4%</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五经普宣传</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氛围浓厚</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氛围浓厚</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五经普工业数据</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准确全面</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准确全面</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15"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lang w:val="en-US" w:eastAsia="zh-CN"/>
              </w:rPr>
              <w:t>1</w:t>
            </w:r>
            <w:r>
              <w:rPr>
                <w:rFonts w:hint="eastAsia" w:ascii="Times New Roman" w:hAnsi="Times New Roman" w:eastAsia="仿宋_GB2312" w:cs="Times New Roman"/>
                <w:color w:val="000000"/>
                <w:sz w:val="20"/>
                <w:szCs w:val="20"/>
                <w:lang w:val="en-US" w:eastAsia="zh-CN"/>
              </w:rPr>
              <w:t>0</w:t>
            </w:r>
            <w:r>
              <w:rPr>
                <w:rFonts w:hint="default" w:ascii="Times New Roman" w:hAnsi="Times New Roman" w:eastAsia="仿宋_GB2312" w:cs="Times New Roman"/>
                <w:color w:val="000000"/>
                <w:sz w:val="20"/>
                <w:szCs w:val="20"/>
              </w:rPr>
              <w:t>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服务对象满意度</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东文宋体" w:hAnsi="东文宋体" w:eastAsia="东文宋体" w:cs="东文宋体"/>
                <w:color w:val="000000"/>
                <w:sz w:val="20"/>
                <w:szCs w:val="20"/>
                <w:lang w:val="en-US" w:eastAsia="zh-CN"/>
              </w:rPr>
              <w:t>≥</w:t>
            </w:r>
            <w:r>
              <w:rPr>
                <w:rFonts w:hint="default" w:ascii="Times New Roman" w:hAnsi="Times New Roman" w:eastAsia="仿宋_GB2312" w:cs="Times New Roman"/>
                <w:color w:val="000000"/>
                <w:sz w:val="20"/>
                <w:szCs w:val="20"/>
                <w:lang w:val="en-US" w:eastAsia="zh-CN"/>
              </w:rPr>
              <w:t>85%</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95%</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r>
              <w:rPr>
                <w:rFonts w:hint="eastAsia" w:ascii="Times New Roman" w:hAnsi="Times New Roman" w:eastAsia="仿宋_GB2312" w:cs="Times New Roman"/>
                <w:color w:val="000000"/>
                <w:sz w:val="20"/>
                <w:szCs w:val="20"/>
                <w:lang w:val="en-US" w:eastAsia="zh-CN"/>
              </w:rPr>
              <w:t>20</w:t>
            </w:r>
            <w:r>
              <w:rPr>
                <w:rFonts w:hint="default" w:ascii="Times New Roman" w:hAnsi="Times New Roman" w:eastAsia="仿宋_GB2312" w:cs="Times New Roman"/>
                <w:color w:val="000000"/>
                <w:sz w:val="20"/>
                <w:szCs w:val="20"/>
              </w:rPr>
              <w:t>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服务经费</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东文宋体" w:hAnsi="东文宋体" w:eastAsia="东文宋体" w:cs="东文宋体"/>
                <w:color w:val="000000"/>
                <w:sz w:val="20"/>
                <w:szCs w:val="20"/>
                <w:lang w:val="en-US" w:eastAsia="zh-CN"/>
              </w:rPr>
              <w:t>≤</w:t>
            </w:r>
            <w:r>
              <w:rPr>
                <w:rFonts w:hint="default" w:ascii="Times New Roman" w:hAnsi="Times New Roman" w:eastAsia="仿宋_GB2312" w:cs="Times New Roman"/>
                <w:color w:val="000000"/>
                <w:sz w:val="20"/>
                <w:szCs w:val="20"/>
                <w:lang w:val="en-US" w:eastAsia="zh-CN"/>
              </w:rPr>
              <w:t>8万元</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8万元</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07" w:hRule="atLeast"/>
          <w:jc w:val="center"/>
        </w:trPr>
        <w:tc>
          <w:tcPr>
            <w:tcW w:w="6722"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r>
    </w:tbl>
    <w:p>
      <w:pPr>
        <w:tabs>
          <w:tab w:val="left" w:pos="7560"/>
        </w:tabs>
        <w:adjustRightInd w:val="0"/>
        <w:snapToGrid w:val="0"/>
        <w:spacing w:line="560" w:lineRule="exact"/>
        <w:jc w:val="left"/>
        <w:rPr>
          <w:rFonts w:hint="default" w:ascii="Times New Roman" w:hAnsi="Times New Roman" w:eastAsia="仿宋_GB2312" w:cs="Times New Roman"/>
          <w:sz w:val="28"/>
          <w:szCs w:val="28"/>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2023年度产业链领航企业开展培育调研费</w:t>
      </w:r>
    </w:p>
    <w:p>
      <w:pPr>
        <w:keepNext w:val="0"/>
        <w:keepLines w:val="0"/>
        <w:pageBreakBefore w:val="0"/>
        <w:widowControl w:val="0"/>
        <w:tabs>
          <w:tab w:val="left" w:pos="7560"/>
        </w:tabs>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354000元等部分结余指标绩效自评报告</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eastAsia="黑体" w:cs="Times New Roman"/>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一、预算收支情况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lang w:bidi="ar"/>
        </w:rPr>
        <w:t>2024年预算</w:t>
      </w:r>
      <w:r>
        <w:rPr>
          <w:rFonts w:hint="default" w:ascii="Times New Roman" w:hAnsi="Times New Roman" w:eastAsia="仿宋_GB2312" w:cs="Times New Roman"/>
          <w:b w:val="0"/>
          <w:bCs w:val="0"/>
          <w:color w:val="000000"/>
          <w:kern w:val="0"/>
          <w:sz w:val="32"/>
          <w:szCs w:val="32"/>
          <w:highlight w:val="none"/>
          <w:lang w:val="en-US" w:eastAsia="zh-CN" w:bidi="ar"/>
        </w:rPr>
        <w:t>35.4</w:t>
      </w:r>
      <w:r>
        <w:rPr>
          <w:rFonts w:hint="default" w:ascii="Times New Roman" w:hAnsi="Times New Roman" w:eastAsia="仿宋_GB2312" w:cs="Times New Roman"/>
          <w:b w:val="0"/>
          <w:bCs w:val="0"/>
          <w:color w:val="000000"/>
          <w:kern w:val="0"/>
          <w:sz w:val="32"/>
          <w:szCs w:val="32"/>
          <w:highlight w:val="none"/>
          <w:lang w:bidi="ar"/>
        </w:rPr>
        <w:t>万元，其中年初预算</w:t>
      </w:r>
      <w:r>
        <w:rPr>
          <w:rFonts w:hint="eastAsia" w:ascii="Times New Roman" w:hAnsi="Times New Roman" w:eastAsia="仿宋_GB2312" w:cs="Times New Roman"/>
          <w:b w:val="0"/>
          <w:bCs w:val="0"/>
          <w:color w:val="000000"/>
          <w:kern w:val="0"/>
          <w:sz w:val="32"/>
          <w:szCs w:val="32"/>
          <w:highlight w:val="none"/>
          <w:lang w:val="en-US" w:eastAsia="zh-CN" w:bidi="ar"/>
        </w:rPr>
        <w:t>35.4</w:t>
      </w:r>
      <w:r>
        <w:rPr>
          <w:rFonts w:hint="default" w:ascii="Times New Roman" w:hAnsi="Times New Roman" w:eastAsia="仿宋_GB2312" w:cs="Times New Roman"/>
          <w:b w:val="0"/>
          <w:bCs w:val="0"/>
          <w:color w:val="000000"/>
          <w:kern w:val="0"/>
          <w:sz w:val="32"/>
          <w:szCs w:val="32"/>
          <w:highlight w:val="none"/>
          <w:lang w:bidi="ar"/>
        </w:rPr>
        <w:t>万元，实际支出</w:t>
      </w:r>
      <w:r>
        <w:rPr>
          <w:rFonts w:hint="default" w:ascii="Times New Roman" w:hAnsi="Times New Roman" w:eastAsia="仿宋_GB2312" w:cs="Times New Roman"/>
          <w:b w:val="0"/>
          <w:bCs w:val="0"/>
          <w:color w:val="000000"/>
          <w:kern w:val="0"/>
          <w:sz w:val="32"/>
          <w:szCs w:val="32"/>
          <w:highlight w:val="none"/>
          <w:lang w:val="en-US" w:eastAsia="zh-CN" w:bidi="ar"/>
        </w:rPr>
        <w:t>35.4</w:t>
      </w:r>
      <w:r>
        <w:rPr>
          <w:rFonts w:hint="default" w:ascii="Times New Roman" w:hAnsi="Times New Roman" w:eastAsia="仿宋_GB2312" w:cs="Times New Roman"/>
          <w:b w:val="0"/>
          <w:bCs w:val="0"/>
          <w:color w:val="000000"/>
          <w:kern w:val="0"/>
          <w:sz w:val="32"/>
          <w:szCs w:val="32"/>
          <w:highlight w:val="none"/>
          <w:lang w:bidi="ar"/>
        </w:rPr>
        <w:t>万元。</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二、项目支出绩效情况</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方正大标宋简体" w:cs="Times New Roman"/>
          <w:color w:val="000000"/>
          <w:sz w:val="36"/>
          <w:szCs w:val="36"/>
          <w:lang w:val="en-US" w:eastAsia="zh-CN"/>
        </w:rPr>
      </w:pPr>
      <w:r>
        <w:rPr>
          <w:rFonts w:hint="default" w:ascii="Times New Roman" w:hAnsi="Times New Roman" w:eastAsia="仿宋_GB2312" w:cs="Times New Roman"/>
          <w:sz w:val="32"/>
          <w:szCs w:val="32"/>
          <w:shd w:val="clear" w:color="auto" w:fill="FFFFFF"/>
        </w:rPr>
        <w:t>20</w:t>
      </w:r>
      <w:r>
        <w:rPr>
          <w:rFonts w:hint="default" w:ascii="Times New Roman" w:hAnsi="Times New Roman" w:eastAsia="仿宋_GB2312" w:cs="Times New Roman"/>
          <w:sz w:val="32"/>
          <w:szCs w:val="32"/>
          <w:shd w:val="clear" w:color="auto" w:fill="FFFFFF"/>
          <w:lang w:val="en-US" w:eastAsia="zh-CN"/>
        </w:rPr>
        <w:t>23</w:t>
      </w:r>
      <w:r>
        <w:rPr>
          <w:rFonts w:hint="default" w:ascii="Times New Roman" w:hAnsi="Times New Roman" w:eastAsia="仿宋_GB2312" w:cs="Times New Roman"/>
          <w:sz w:val="32"/>
          <w:szCs w:val="32"/>
          <w:shd w:val="clear" w:color="auto" w:fill="FFFFFF"/>
        </w:rPr>
        <w:t>年度</w:t>
      </w:r>
      <w:r>
        <w:rPr>
          <w:rFonts w:hint="default" w:ascii="Times New Roman" w:hAnsi="Times New Roman" w:eastAsia="仿宋_GB2312" w:cs="Times New Roman"/>
          <w:sz w:val="32"/>
          <w:szCs w:val="32"/>
          <w:shd w:val="clear" w:color="auto" w:fill="FFFFFF"/>
          <w:lang w:eastAsia="zh-CN"/>
        </w:rPr>
        <w:t>本项目预算资金</w:t>
      </w:r>
      <w:r>
        <w:rPr>
          <w:rFonts w:hint="default" w:ascii="Times New Roman" w:hAnsi="Times New Roman" w:eastAsia="仿宋_GB2312" w:cs="Times New Roman"/>
          <w:sz w:val="32"/>
          <w:szCs w:val="32"/>
          <w:shd w:val="clear" w:color="auto" w:fill="FFFFFF"/>
          <w:lang w:val="en-US" w:eastAsia="zh-CN"/>
        </w:rPr>
        <w:t>60.15万元，于当年2月支付政府采购代理费1.15万元；7月向信通院（湖南）信息科技有限公司拨付首款23.6万元。</w:t>
      </w:r>
      <w:r>
        <w:rPr>
          <w:rFonts w:hint="default" w:ascii="Times New Roman" w:hAnsi="Times New Roman" w:eastAsia="仿宋_GB2312" w:cs="Times New Roman"/>
          <w:sz w:val="32"/>
          <w:szCs w:val="32"/>
          <w:shd w:val="clear" w:color="auto" w:fill="FFFFFF"/>
        </w:rPr>
        <w:t>20</w:t>
      </w:r>
      <w:r>
        <w:rPr>
          <w:rFonts w:hint="default" w:ascii="Times New Roman" w:hAnsi="Times New Roman" w:eastAsia="仿宋_GB2312" w:cs="Times New Roman"/>
          <w:sz w:val="32"/>
          <w:szCs w:val="32"/>
          <w:shd w:val="clear" w:color="auto" w:fill="FFFFFF"/>
          <w:lang w:val="en-US" w:eastAsia="zh-CN"/>
        </w:rPr>
        <w:t>24</w:t>
      </w:r>
      <w:r>
        <w:rPr>
          <w:rFonts w:hint="default" w:ascii="Times New Roman" w:hAnsi="Times New Roman" w:eastAsia="仿宋_GB2312" w:cs="Times New Roman"/>
          <w:sz w:val="32"/>
          <w:szCs w:val="32"/>
          <w:shd w:val="clear" w:color="auto" w:fill="FFFFFF"/>
        </w:rPr>
        <w:t>年度</w:t>
      </w:r>
      <w:r>
        <w:rPr>
          <w:rFonts w:hint="default" w:ascii="Times New Roman" w:hAnsi="Times New Roman" w:eastAsia="仿宋_GB2312" w:cs="Times New Roman"/>
          <w:sz w:val="32"/>
          <w:szCs w:val="32"/>
          <w:shd w:val="clear" w:color="auto" w:fill="FFFFFF"/>
          <w:lang w:eastAsia="zh-CN"/>
        </w:rPr>
        <w:t>本项目预算资金</w:t>
      </w:r>
      <w:r>
        <w:rPr>
          <w:rFonts w:hint="default" w:ascii="Times New Roman" w:hAnsi="Times New Roman" w:eastAsia="仿宋_GB2312" w:cs="Times New Roman"/>
          <w:sz w:val="32"/>
          <w:szCs w:val="32"/>
          <w:shd w:val="clear" w:color="auto" w:fill="FFFFFF"/>
          <w:lang w:val="en-US" w:eastAsia="zh-CN"/>
        </w:rPr>
        <w:t>35.4万元，于当年8月，向信通院（湖南）信息科技有限公司拨付第二笔款项17.7万元；9月向信通院（湖南）信息科技有限公司拨付尾款17.7万元，项目经费全部支付到位。本项目经专家评审、党组会议、市政府领导审签等程序，于2024年1月15日结题。《调研项目》包括项目背景、株洲之基、经验之谈、领航之帆、育企蓝图、保障措施以及附件等七个部分。在我市企业梯队培育、数智赋能、链群建设等方面提出了实施路径，2024年我市在现代化产业体系建设方面取得了一定的成绩。</w:t>
      </w:r>
      <w:r>
        <w:rPr>
          <w:rFonts w:hint="default" w:ascii="Times New Roman" w:hAnsi="Times New Roman" w:eastAsia="楷体_GB2312" w:cs="Times New Roman"/>
          <w:b/>
          <w:bCs/>
          <w:sz w:val="32"/>
          <w:szCs w:val="32"/>
          <w:shd w:val="clear" w:color="auto" w:fill="FFFFFF"/>
          <w:lang w:val="en-US" w:eastAsia="zh-CN"/>
        </w:rPr>
        <w:t>一是企业培育成效显著。</w:t>
      </w:r>
      <w:r>
        <w:rPr>
          <w:rFonts w:hint="default" w:ascii="Times New Roman" w:hAnsi="Times New Roman" w:eastAsia="仿宋_GB2312" w:cs="Times New Roman"/>
          <w:sz w:val="32"/>
          <w:szCs w:val="32"/>
          <w:shd w:val="clear" w:color="auto" w:fill="FFFFFF"/>
          <w:lang w:val="en-US" w:eastAsia="zh-CN"/>
        </w:rPr>
        <w:t>2024年，新增国省级专精特新企业123家、累计突破500家，国家“小巨人”提前两年实现县市区全覆盖；新增国省级制造业单项冠军31个，其中国家级新增9个、居全省第一，累计20个、居中西部非省会城市第一。</w:t>
      </w:r>
      <w:r>
        <w:rPr>
          <w:rFonts w:hint="default" w:ascii="Times New Roman" w:hAnsi="Times New Roman" w:eastAsia="楷体_GB2312" w:cs="Times New Roman"/>
          <w:b/>
          <w:bCs/>
          <w:sz w:val="32"/>
          <w:szCs w:val="32"/>
          <w:shd w:val="clear" w:color="auto" w:fill="FFFFFF"/>
          <w:lang w:val="en-US" w:eastAsia="zh-CN"/>
        </w:rPr>
        <w:t>二是链群发展生态更优。</w:t>
      </w:r>
      <w:r>
        <w:rPr>
          <w:rFonts w:hint="default" w:ascii="Times New Roman" w:hAnsi="Times New Roman" w:eastAsia="仿宋_GB2312" w:cs="Times New Roman"/>
          <w:sz w:val="32"/>
          <w:szCs w:val="32"/>
          <w:shd w:val="clear" w:color="auto" w:fill="FFFFFF"/>
          <w:lang w:val="en-US" w:eastAsia="zh-CN"/>
        </w:rPr>
        <w:t>轨道交通、航空动力产业加快向世界级产业集群迈进，硬质合金入选全国中小企业特色产业集群，三大优势产业全部跻身“国家队”。</w:t>
      </w:r>
      <w:r>
        <w:rPr>
          <w:rFonts w:hint="default" w:ascii="Times New Roman" w:hAnsi="Times New Roman" w:eastAsia="仿宋_GB2312" w:cs="Times New Roman"/>
          <w:sz w:val="32"/>
          <w:szCs w:val="32"/>
          <w:shd w:val="clear" w:color="auto" w:fill="FFFFFF"/>
          <w:rtl w:val="0"/>
          <w:lang w:val="en-US" w:eastAsia="zh-CN"/>
        </w:rPr>
        <w:t>承办工信部与省政府推进北斗规模应用第一次联席会议，工信领域试点进展顺利，北斗产业入围省级集群培育对象。新能源装备产业成为第3个千亿产业，陆上风电装备获批省级产业集群。北斗时空信息、包装材料、高分子功能膜与涂料入围省级集群培育对象。衡长株潭特高压输变电装备获批国家先进制造业集群，国家级集群数量稳居全省第一。</w:t>
      </w:r>
      <w:r>
        <w:rPr>
          <w:rFonts w:hint="default" w:ascii="Times New Roman" w:hAnsi="Times New Roman" w:eastAsia="楷体_GB2312" w:cs="Times New Roman"/>
          <w:b/>
          <w:bCs/>
          <w:sz w:val="32"/>
          <w:szCs w:val="32"/>
          <w:shd w:val="clear" w:color="auto" w:fill="FFFFFF"/>
          <w:rtl w:val="0"/>
          <w:lang w:val="en-US" w:eastAsia="zh-CN"/>
        </w:rPr>
        <w:t>三是数智赋能成效明显。</w:t>
      </w:r>
      <w:r>
        <w:rPr>
          <w:rFonts w:hint="default" w:ascii="Times New Roman" w:hAnsi="Times New Roman" w:eastAsia="方正仿宋_GBK" w:cs="Times New Roman"/>
          <w:sz w:val="32"/>
          <w:szCs w:val="32"/>
          <w:highlight w:val="none"/>
          <w:u w:val="none" w:color="auto"/>
          <w:rtl w:val="0"/>
          <w:lang w:val="en-US" w:eastAsia="zh-CN"/>
        </w:rPr>
        <w:t>成功获批国家千兆城市、全国中小企业数字化转型试点城市、全国工信领域北斗规模应用试点城市、新晋数字经济百强市。赛迪国内首个先进制造业创新中心落户株洲，新增省级制造业创新中心2家、新材料中试平台6个、工业设计中心10家、企业技术中心25家。“智赋千企”深入推进，算力规模超300PF，新增上云上平台企业7800家、智能制造企业（车间）266个、智能工位1184个。时代新材、泰鑫瓷业等8家企业获批国家数字化领域重大试点和典型案例。宜安精密获评全国5G工厂，实现零的突破。</w:t>
      </w:r>
      <w:r>
        <w:rPr>
          <w:rFonts w:hint="default" w:ascii="Times New Roman" w:hAnsi="Times New Roman" w:eastAsia="楷体_GB2312" w:cs="Times New Roman"/>
          <w:b/>
          <w:bCs/>
          <w:sz w:val="32"/>
          <w:szCs w:val="32"/>
          <w:shd w:val="clear" w:color="auto" w:fill="FFFFFF"/>
          <w:rtl w:val="0"/>
          <w:lang w:val="en-US" w:eastAsia="zh-CN"/>
        </w:rPr>
        <w:t>四是企业服务可圈可点。</w:t>
      </w:r>
      <w:r>
        <w:rPr>
          <w:rFonts w:hint="default" w:ascii="Times New Roman" w:hAnsi="Times New Roman" w:eastAsia="方正仿宋_GBK" w:cs="Times New Roman"/>
          <w:spacing w:val="-6"/>
          <w:sz w:val="32"/>
          <w:szCs w:val="32"/>
          <w:highlight w:val="none"/>
          <w:u w:val="none" w:color="auto"/>
          <w:rtl w:val="0"/>
          <w:lang w:val="en-US" w:eastAsia="zh-CN"/>
        </w:rPr>
        <w:t>常</w:t>
      </w:r>
      <w:r>
        <w:rPr>
          <w:rFonts w:hint="default" w:ascii="Times New Roman" w:hAnsi="Times New Roman" w:eastAsia="仿宋_GB2312" w:cs="Times New Roman"/>
          <w:sz w:val="32"/>
          <w:szCs w:val="32"/>
          <w:shd w:val="clear" w:color="auto" w:fill="FFFFFF"/>
          <w:rtl w:val="0"/>
          <w:lang w:val="en-US" w:eastAsia="zh-CN"/>
        </w:rPr>
        <w:t>态化开展“送解优”行动，编印惠企政策口袋书1.5万本，495个项目入围工信部设备更新再贷款贴息项目库（占全省30%），18个工业领域“两重”、“两新”项目获2.5亿超长期国债支持，深入开展服务企业“一降一升”行动，“企业办事不求人”获评省级创新服务项目，成功举办“企业数字化转型赋能活动”65场。全国首批产业链供应链生态体系建设试点获工信部肯定。</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sectPr>
          <w:footerReference r:id="rId20" w:type="default"/>
          <w:pgSz w:w="11906" w:h="16838"/>
          <w:pgMar w:top="1984" w:right="1531" w:bottom="1701" w:left="1531" w:header="851" w:footer="1588" w:gutter="0"/>
          <w:cols w:space="720" w:num="1"/>
          <w:docGrid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2024年度项目支出绩效自评表</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p>
    <w:tbl>
      <w:tblPr>
        <w:tblStyle w:val="22"/>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104"/>
        <w:gridCol w:w="1106"/>
        <w:gridCol w:w="1253"/>
        <w:gridCol w:w="1164"/>
        <w:gridCol w:w="1161"/>
        <w:gridCol w:w="847"/>
        <w:gridCol w:w="89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04" w:type="dxa"/>
            <w:tcBorders>
              <w:tl2br w:val="nil"/>
              <w:tr2bl w:val="nil"/>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984" w:type="dxa"/>
            <w:gridSpan w:val="8"/>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2023年度产业链领航企业开展培育调研费354000元等部分结余指标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04" w:type="dxa"/>
            <w:tcBorders>
              <w:tl2br w:val="nil"/>
              <w:tr2bl w:val="nil"/>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627" w:type="dxa"/>
            <w:gridSpan w:val="4"/>
            <w:tcBorders>
              <w:tl2br w:val="nil"/>
              <w:tr2bl w:val="nil"/>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株洲市工业和信息化局</w:t>
            </w:r>
          </w:p>
        </w:tc>
        <w:tc>
          <w:tcPr>
            <w:tcW w:w="1161"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96" w:type="dxa"/>
            <w:gridSpan w:val="3"/>
            <w:tcBorders>
              <w:tl2br w:val="nil"/>
              <w:tr2bl w:val="nil"/>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株洲市工业和信息化局机关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04" w:type="dxa"/>
            <w:vMerge w:val="restart"/>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210" w:type="dxa"/>
            <w:gridSpan w:val="2"/>
            <w:tcBorders>
              <w:tl2br w:val="nil"/>
              <w:tr2bl w:val="nil"/>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53"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64"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61" w:type="dxa"/>
            <w:tcBorders>
              <w:tl2br w:val="nil"/>
              <w:tr2bl w:val="nil"/>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47" w:type="dxa"/>
            <w:tcBorders>
              <w:tl2br w:val="nil"/>
              <w:tr2bl w:val="nil"/>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93" w:type="dxa"/>
            <w:tcBorders>
              <w:tl2br w:val="nil"/>
              <w:tr2bl w:val="nil"/>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56" w:type="dxa"/>
            <w:tcBorders>
              <w:tl2br w:val="nil"/>
              <w:tr2bl w:val="nil"/>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04"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000000"/>
                <w:sz w:val="20"/>
                <w:szCs w:val="20"/>
              </w:rPr>
            </w:pPr>
          </w:p>
        </w:tc>
        <w:tc>
          <w:tcPr>
            <w:tcW w:w="2210" w:type="dxa"/>
            <w:gridSpan w:val="2"/>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w:t>
            </w:r>
          </w:p>
        </w:tc>
        <w:tc>
          <w:tcPr>
            <w:tcW w:w="1253"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1164"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1161"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847"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893"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1456"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04"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000000"/>
                <w:sz w:val="20"/>
                <w:szCs w:val="20"/>
              </w:rPr>
            </w:pPr>
          </w:p>
        </w:tc>
        <w:tc>
          <w:tcPr>
            <w:tcW w:w="2210" w:type="dxa"/>
            <w:gridSpan w:val="2"/>
            <w:tcBorders>
              <w:tl2br w:val="nil"/>
              <w:tr2bl w:val="nil"/>
            </w:tcBorders>
            <w:noWrap w:val="0"/>
            <w:vAlign w:val="center"/>
          </w:tcPr>
          <w:p>
            <w:pPr>
              <w:widowControl/>
              <w:ind w:firstLine="600" w:firstLineChars="30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w:t>
            </w:r>
          </w:p>
        </w:tc>
        <w:tc>
          <w:tcPr>
            <w:tcW w:w="1253"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35.4</w:t>
            </w:r>
          </w:p>
        </w:tc>
        <w:tc>
          <w:tcPr>
            <w:tcW w:w="1164" w:type="dxa"/>
            <w:tcBorders>
              <w:tl2br w:val="nil"/>
              <w:tr2bl w:val="nil"/>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35.4</w:t>
            </w:r>
          </w:p>
        </w:tc>
        <w:tc>
          <w:tcPr>
            <w:tcW w:w="1161" w:type="dxa"/>
            <w:tcBorders>
              <w:tl2br w:val="nil"/>
              <w:tr2bl w:val="nil"/>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35.4</w:t>
            </w:r>
          </w:p>
        </w:tc>
        <w:tc>
          <w:tcPr>
            <w:tcW w:w="847"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893"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1456"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104"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000000"/>
                <w:sz w:val="20"/>
                <w:szCs w:val="20"/>
              </w:rPr>
            </w:pPr>
          </w:p>
        </w:tc>
        <w:tc>
          <w:tcPr>
            <w:tcW w:w="2210" w:type="dxa"/>
            <w:gridSpan w:val="2"/>
            <w:tcBorders>
              <w:tl2br w:val="nil"/>
              <w:tr2bl w:val="nil"/>
            </w:tcBorders>
            <w:noWrap w:val="0"/>
            <w:vAlign w:val="center"/>
          </w:tcPr>
          <w:p>
            <w:pPr>
              <w:widowControl/>
              <w:ind w:firstLine="600" w:firstLineChars="30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53"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1164"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1161"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847"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893"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1456"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104" w:type="dxa"/>
            <w:tcBorders>
              <w:tl2br w:val="nil"/>
              <w:tr2bl w:val="nil"/>
            </w:tcBorders>
            <w:noWrap w:val="0"/>
            <w:vAlign w:val="center"/>
          </w:tcPr>
          <w:p>
            <w:pPr>
              <w:widowControl/>
              <w:jc w:val="left"/>
              <w:rPr>
                <w:rFonts w:hint="default" w:ascii="Times New Roman" w:hAnsi="Times New Roman" w:eastAsia="仿宋_GB2312" w:cs="Times New Roman"/>
                <w:color w:val="000000"/>
                <w:sz w:val="20"/>
                <w:szCs w:val="20"/>
              </w:rPr>
            </w:pPr>
          </w:p>
        </w:tc>
        <w:tc>
          <w:tcPr>
            <w:tcW w:w="2210" w:type="dxa"/>
            <w:gridSpan w:val="2"/>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w:t>
            </w:r>
          </w:p>
        </w:tc>
        <w:tc>
          <w:tcPr>
            <w:tcW w:w="1253" w:type="dxa"/>
            <w:tcBorders>
              <w:tl2br w:val="nil"/>
              <w:tr2bl w:val="nil"/>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35.4</w:t>
            </w:r>
          </w:p>
        </w:tc>
        <w:tc>
          <w:tcPr>
            <w:tcW w:w="1164" w:type="dxa"/>
            <w:tcBorders>
              <w:tl2br w:val="nil"/>
              <w:tr2bl w:val="nil"/>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35.4</w:t>
            </w:r>
          </w:p>
        </w:tc>
        <w:tc>
          <w:tcPr>
            <w:tcW w:w="1161" w:type="dxa"/>
            <w:tcBorders>
              <w:tl2br w:val="nil"/>
              <w:tr2bl w:val="nil"/>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35.4</w:t>
            </w:r>
          </w:p>
        </w:tc>
        <w:tc>
          <w:tcPr>
            <w:tcW w:w="847"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93"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456" w:type="dxa"/>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04" w:type="dxa"/>
            <w:vMerge w:val="restart"/>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27" w:type="dxa"/>
            <w:gridSpan w:val="4"/>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57" w:type="dxa"/>
            <w:gridSpan w:val="4"/>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104"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000000"/>
                <w:sz w:val="20"/>
                <w:szCs w:val="20"/>
              </w:rPr>
            </w:pPr>
          </w:p>
        </w:tc>
        <w:tc>
          <w:tcPr>
            <w:tcW w:w="4627" w:type="dxa"/>
            <w:gridSpan w:val="4"/>
            <w:tcBorders>
              <w:tl2br w:val="nil"/>
              <w:tr2bl w:val="nil"/>
            </w:tcBorders>
            <w:noWrap w:val="0"/>
            <w:vAlign w:val="center"/>
          </w:tcPr>
          <w:p>
            <w:pPr>
              <w:widowControl/>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构建以专精特新“小巨人”企业、制造业单项冠军企业、领航企业为主体的优质企业梯度培育格局，大力推进优势产业集群建设，加快推进新型工业化，全力打造先进制造业高地。　　</w:t>
            </w:r>
          </w:p>
        </w:tc>
        <w:tc>
          <w:tcPr>
            <w:tcW w:w="4357" w:type="dxa"/>
            <w:gridSpan w:val="4"/>
            <w:tcBorders>
              <w:tl2br w:val="nil"/>
              <w:tr2bl w:val="nil"/>
            </w:tcBorders>
            <w:noWrap w:val="0"/>
            <w:vAlign w:val="center"/>
          </w:tcPr>
          <w:p>
            <w:pPr>
              <w:widowControl/>
              <w:jc w:val="both"/>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202</w:t>
            </w:r>
            <w:r>
              <w:rPr>
                <w:rFonts w:hint="default"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年，全市新增省级专精特新企业</w:t>
            </w:r>
            <w:r>
              <w:rPr>
                <w:rFonts w:hint="default" w:ascii="Times New Roman" w:hAnsi="Times New Roman" w:eastAsia="仿宋_GB2312" w:cs="Times New Roman"/>
                <w:color w:val="000000"/>
                <w:sz w:val="20"/>
                <w:szCs w:val="20"/>
                <w:lang w:val="en-US" w:eastAsia="zh-CN"/>
              </w:rPr>
              <w:t>116</w:t>
            </w:r>
            <w:r>
              <w:rPr>
                <w:rFonts w:hint="default" w:ascii="Times New Roman" w:hAnsi="Times New Roman" w:eastAsia="仿宋_GB2312" w:cs="Times New Roman"/>
                <w:color w:val="000000"/>
                <w:sz w:val="20"/>
                <w:szCs w:val="20"/>
              </w:rPr>
              <w:t>家、国家小巨人</w:t>
            </w:r>
            <w:r>
              <w:rPr>
                <w:rFonts w:hint="default" w:ascii="Times New Roman" w:hAnsi="Times New Roman" w:eastAsia="仿宋_GB2312" w:cs="Times New Roman"/>
                <w:color w:val="000000"/>
                <w:sz w:val="20"/>
                <w:szCs w:val="20"/>
                <w:lang w:val="en-US" w:eastAsia="zh-CN"/>
              </w:rPr>
              <w:t>7</w:t>
            </w:r>
            <w:r>
              <w:rPr>
                <w:rFonts w:hint="default" w:ascii="Times New Roman" w:hAnsi="Times New Roman" w:eastAsia="仿宋_GB2312" w:cs="Times New Roman"/>
                <w:color w:val="000000"/>
                <w:sz w:val="20"/>
                <w:szCs w:val="20"/>
              </w:rPr>
              <w:t>家，均居全省第二。新增省级制造业单项冠军</w:t>
            </w:r>
            <w:r>
              <w:rPr>
                <w:rFonts w:hint="default" w:ascii="Times New Roman" w:hAnsi="Times New Roman" w:eastAsia="仿宋_GB2312" w:cs="Times New Roman"/>
                <w:color w:val="000000"/>
                <w:sz w:val="20"/>
                <w:szCs w:val="20"/>
                <w:lang w:val="en-US" w:eastAsia="zh-CN"/>
              </w:rPr>
              <w:t>22</w:t>
            </w:r>
            <w:r>
              <w:rPr>
                <w:rFonts w:hint="default" w:ascii="Times New Roman" w:hAnsi="Times New Roman" w:eastAsia="仿宋_GB2312" w:cs="Times New Roman"/>
                <w:color w:val="000000"/>
                <w:sz w:val="20"/>
                <w:szCs w:val="20"/>
              </w:rPr>
              <w:t>家，全省排名第二；新增国家级制造业单项冠军9家，全省排名第一。醴陵市陶瓷产业集群获评国家中小企业特色产业集群；先进电力电子器件及应用产业集群入围先进制造业集群竞赛决赛胜出名单，陆上风电装备</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tl w:val="0"/>
                <w:lang w:val="en-US" w:eastAsia="zh-CN"/>
              </w:rPr>
              <w:t>包装材料、高分子功能膜与涂料</w:t>
            </w:r>
            <w:r>
              <w:rPr>
                <w:rFonts w:hint="default" w:ascii="Times New Roman" w:hAnsi="Times New Roman" w:eastAsia="仿宋_GB2312" w:cs="Times New Roman"/>
                <w:color w:val="000000"/>
                <w:sz w:val="20"/>
                <w:szCs w:val="20"/>
              </w:rPr>
              <w:t>入围先进制造业集群初赛胜出名单</w:t>
            </w:r>
            <w:r>
              <w:rPr>
                <w:rFonts w:hint="default" w:ascii="Times New Roman" w:hAnsi="Times New Roman" w:eastAsia="仿宋_GB2312"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4" w:type="dxa"/>
            <w:vMerge w:val="restart"/>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104"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10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5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64"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6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4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9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5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04" w:type="dxa"/>
            <w:vMerge w:val="continue"/>
            <w:tcBorders>
              <w:tl2br w:val="nil"/>
              <w:tr2bl w:val="nil"/>
            </w:tcBorders>
            <w:noWrap w:val="0"/>
            <w:vAlign w:val="center"/>
          </w:tcPr>
          <w:p>
            <w:pPr>
              <w:jc w:val="left"/>
              <w:rPr>
                <w:rFonts w:hint="default" w:ascii="Times New Roman" w:hAnsi="Times New Roman" w:eastAsia="仿宋_GB2312" w:cs="Times New Roman"/>
                <w:color w:val="000000"/>
                <w:sz w:val="20"/>
                <w:szCs w:val="20"/>
              </w:rPr>
            </w:pPr>
          </w:p>
        </w:tc>
        <w:tc>
          <w:tcPr>
            <w:tcW w:w="1104" w:type="dxa"/>
            <w:vMerge w:val="restart"/>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40分</w:t>
            </w:r>
            <w:r>
              <w:rPr>
                <w:rFonts w:hint="default" w:ascii="Times New Roman" w:hAnsi="Times New Roman" w:eastAsia="仿宋_GB2312" w:cs="Times New Roman"/>
                <w:color w:val="000000"/>
                <w:sz w:val="20"/>
                <w:szCs w:val="20"/>
                <w:lang w:eastAsia="zh-CN"/>
              </w:rPr>
              <w:t>）</w:t>
            </w:r>
          </w:p>
        </w:tc>
        <w:tc>
          <w:tcPr>
            <w:tcW w:w="1106" w:type="dxa"/>
            <w:vMerge w:val="restart"/>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5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获评国、省领航企业</w:t>
            </w:r>
          </w:p>
        </w:tc>
        <w:tc>
          <w:tcPr>
            <w:tcW w:w="11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6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未开展</w:t>
            </w:r>
          </w:p>
        </w:tc>
        <w:tc>
          <w:tcPr>
            <w:tcW w:w="84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0</w:t>
            </w:r>
          </w:p>
        </w:tc>
        <w:tc>
          <w:tcPr>
            <w:tcW w:w="89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0</w:t>
            </w:r>
          </w:p>
        </w:tc>
        <w:tc>
          <w:tcPr>
            <w:tcW w:w="1456"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国家工信部已开展“链主”企业评选。链主企业与领航企业概念相似，目前我市3家企业获评“链主”企业。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04" w:type="dxa"/>
            <w:vMerge w:val="continue"/>
            <w:tcBorders>
              <w:tl2br w:val="nil"/>
              <w:tr2bl w:val="nil"/>
            </w:tcBorders>
            <w:noWrap w:val="0"/>
            <w:vAlign w:val="center"/>
          </w:tcPr>
          <w:p>
            <w:pPr>
              <w:jc w:val="left"/>
              <w:rPr>
                <w:rFonts w:hint="default" w:ascii="Times New Roman" w:hAnsi="Times New Roman" w:eastAsia="仿宋_GB2312" w:cs="Times New Roman"/>
                <w:color w:val="000000"/>
                <w:sz w:val="20"/>
                <w:szCs w:val="20"/>
              </w:rPr>
            </w:pPr>
          </w:p>
        </w:tc>
        <w:tc>
          <w:tcPr>
            <w:tcW w:w="1104" w:type="dxa"/>
            <w:vMerge w:val="continue"/>
            <w:tcBorders>
              <w:tl2br w:val="nil"/>
              <w:tr2bl w:val="nil"/>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106" w:type="dxa"/>
            <w:vMerge w:val="continue"/>
            <w:tcBorders>
              <w:tl2br w:val="nil"/>
              <w:tr2bl w:val="nil"/>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25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新增国家、省级制造业单项冠军企业</w:t>
            </w:r>
          </w:p>
        </w:tc>
        <w:tc>
          <w:tcPr>
            <w:tcW w:w="11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20</w:t>
            </w:r>
          </w:p>
        </w:tc>
        <w:tc>
          <w:tcPr>
            <w:tcW w:w="116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31</w:t>
            </w:r>
          </w:p>
        </w:tc>
        <w:tc>
          <w:tcPr>
            <w:tcW w:w="84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4</w:t>
            </w:r>
          </w:p>
        </w:tc>
        <w:tc>
          <w:tcPr>
            <w:tcW w:w="89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4</w:t>
            </w:r>
          </w:p>
        </w:tc>
        <w:tc>
          <w:tcPr>
            <w:tcW w:w="1456"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04" w:type="dxa"/>
            <w:vMerge w:val="continue"/>
            <w:tcBorders>
              <w:tl2br w:val="nil"/>
              <w:tr2bl w:val="nil"/>
            </w:tcBorders>
            <w:noWrap w:val="0"/>
            <w:vAlign w:val="center"/>
          </w:tcPr>
          <w:p>
            <w:pPr>
              <w:jc w:val="left"/>
              <w:rPr>
                <w:rFonts w:hint="default" w:ascii="Times New Roman" w:hAnsi="Times New Roman" w:eastAsia="仿宋_GB2312" w:cs="Times New Roman"/>
                <w:color w:val="000000"/>
                <w:sz w:val="20"/>
                <w:szCs w:val="20"/>
              </w:rPr>
            </w:pPr>
          </w:p>
        </w:tc>
        <w:tc>
          <w:tcPr>
            <w:tcW w:w="1104" w:type="dxa"/>
            <w:vMerge w:val="continue"/>
            <w:tcBorders>
              <w:tl2br w:val="nil"/>
              <w:tr2bl w:val="nil"/>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106" w:type="dxa"/>
            <w:vMerge w:val="continue"/>
            <w:tcBorders>
              <w:tl2br w:val="nil"/>
              <w:tr2bl w:val="nil"/>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25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新增国家、省级专精特新小巨人企业</w:t>
            </w:r>
          </w:p>
        </w:tc>
        <w:tc>
          <w:tcPr>
            <w:tcW w:w="11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150</w:t>
            </w:r>
          </w:p>
        </w:tc>
        <w:tc>
          <w:tcPr>
            <w:tcW w:w="116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123</w:t>
            </w:r>
          </w:p>
        </w:tc>
        <w:tc>
          <w:tcPr>
            <w:tcW w:w="84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9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1456"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eastAsia="zh-CN"/>
              </w:rPr>
              <w:t>当初目标值为</w:t>
            </w:r>
            <w:r>
              <w:rPr>
                <w:rFonts w:hint="default" w:ascii="Times New Roman" w:hAnsi="Times New Roman" w:eastAsia="仿宋_GB2312" w:cs="Times New Roman"/>
                <w:color w:val="000000"/>
                <w:sz w:val="20"/>
                <w:szCs w:val="20"/>
                <w:lang w:val="en-US" w:eastAsia="zh-CN"/>
              </w:rPr>
              <w:t>150家左右。在国省获评数量逐年递减的情况下，我市2024年数量仍居全省第二位。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04" w:type="dxa"/>
            <w:vMerge w:val="continue"/>
            <w:tcBorders>
              <w:tl2br w:val="nil"/>
              <w:tr2bl w:val="nil"/>
            </w:tcBorders>
            <w:noWrap w:val="0"/>
            <w:vAlign w:val="center"/>
          </w:tcPr>
          <w:p>
            <w:pPr>
              <w:jc w:val="left"/>
              <w:rPr>
                <w:rFonts w:hint="default" w:ascii="Times New Roman" w:hAnsi="Times New Roman" w:eastAsia="仿宋_GB2312" w:cs="Times New Roman"/>
                <w:color w:val="000000"/>
                <w:sz w:val="20"/>
                <w:szCs w:val="20"/>
              </w:rPr>
            </w:pPr>
          </w:p>
        </w:tc>
        <w:tc>
          <w:tcPr>
            <w:tcW w:w="1104" w:type="dxa"/>
            <w:vMerge w:val="continue"/>
            <w:tcBorders>
              <w:tl2br w:val="nil"/>
              <w:tr2bl w:val="nil"/>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106" w:type="dxa"/>
            <w:vMerge w:val="continue"/>
            <w:tcBorders>
              <w:tl2br w:val="nil"/>
              <w:tr2bl w:val="nil"/>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25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大中小企业供需对接大会等</w:t>
            </w:r>
          </w:p>
        </w:tc>
        <w:tc>
          <w:tcPr>
            <w:tcW w:w="11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116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65</w:t>
            </w:r>
          </w:p>
        </w:tc>
        <w:tc>
          <w:tcPr>
            <w:tcW w:w="84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9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1456"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04" w:type="dxa"/>
            <w:vMerge w:val="continue"/>
            <w:tcBorders>
              <w:tl2br w:val="nil"/>
              <w:tr2bl w:val="nil"/>
            </w:tcBorders>
            <w:noWrap w:val="0"/>
            <w:vAlign w:val="center"/>
          </w:tcPr>
          <w:p>
            <w:pPr>
              <w:jc w:val="left"/>
              <w:rPr>
                <w:rFonts w:hint="default" w:ascii="Times New Roman" w:hAnsi="Times New Roman" w:eastAsia="仿宋_GB2312" w:cs="Times New Roman"/>
                <w:color w:val="000000"/>
                <w:sz w:val="20"/>
                <w:szCs w:val="20"/>
              </w:rPr>
            </w:pPr>
          </w:p>
        </w:tc>
        <w:tc>
          <w:tcPr>
            <w:tcW w:w="1104" w:type="dxa"/>
            <w:vMerge w:val="continue"/>
            <w:tcBorders>
              <w:tl2br w:val="nil"/>
              <w:tr2bl w:val="nil"/>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106" w:type="dxa"/>
            <w:vMerge w:val="continue"/>
            <w:tcBorders>
              <w:tl2br w:val="nil"/>
              <w:tr2bl w:val="nil"/>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25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新增国家集群</w:t>
            </w:r>
          </w:p>
        </w:tc>
        <w:tc>
          <w:tcPr>
            <w:tcW w:w="11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116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w:t>
            </w:r>
          </w:p>
        </w:tc>
        <w:tc>
          <w:tcPr>
            <w:tcW w:w="84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4</w:t>
            </w:r>
          </w:p>
        </w:tc>
        <w:tc>
          <w:tcPr>
            <w:tcW w:w="89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4</w:t>
            </w:r>
          </w:p>
        </w:tc>
        <w:tc>
          <w:tcPr>
            <w:tcW w:w="1456"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04" w:type="dxa"/>
            <w:vMerge w:val="continue"/>
            <w:tcBorders>
              <w:tl2br w:val="nil"/>
              <w:tr2bl w:val="nil"/>
            </w:tcBorders>
            <w:noWrap w:val="0"/>
            <w:vAlign w:val="center"/>
          </w:tcPr>
          <w:p>
            <w:pPr>
              <w:jc w:val="left"/>
              <w:rPr>
                <w:rFonts w:hint="default" w:ascii="Times New Roman" w:hAnsi="Times New Roman" w:eastAsia="仿宋_GB2312" w:cs="Times New Roman"/>
                <w:color w:val="000000"/>
                <w:sz w:val="20"/>
                <w:szCs w:val="20"/>
              </w:rPr>
            </w:pPr>
          </w:p>
        </w:tc>
        <w:tc>
          <w:tcPr>
            <w:tcW w:w="1104" w:type="dxa"/>
            <w:vMerge w:val="continue"/>
            <w:tcBorders>
              <w:tl2br w:val="nil"/>
              <w:tr2bl w:val="nil"/>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106" w:type="dxa"/>
            <w:vMerge w:val="continue"/>
            <w:tcBorders>
              <w:tl2br w:val="nil"/>
              <w:tr2bl w:val="nil"/>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25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新增省级集群</w:t>
            </w:r>
          </w:p>
        </w:tc>
        <w:tc>
          <w:tcPr>
            <w:tcW w:w="11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116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4</w:t>
            </w:r>
          </w:p>
        </w:tc>
        <w:tc>
          <w:tcPr>
            <w:tcW w:w="84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9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1456"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04" w:type="dxa"/>
            <w:vMerge w:val="continue"/>
            <w:tcBorders>
              <w:tl2br w:val="nil"/>
              <w:tr2bl w:val="nil"/>
            </w:tcBorders>
            <w:noWrap w:val="0"/>
            <w:vAlign w:val="center"/>
          </w:tcPr>
          <w:p>
            <w:pPr>
              <w:jc w:val="left"/>
              <w:rPr>
                <w:rFonts w:hint="default" w:ascii="Times New Roman" w:hAnsi="Times New Roman" w:eastAsia="仿宋_GB2312" w:cs="Times New Roman"/>
                <w:color w:val="000000"/>
                <w:sz w:val="20"/>
                <w:szCs w:val="20"/>
              </w:rPr>
            </w:pPr>
          </w:p>
        </w:tc>
        <w:tc>
          <w:tcPr>
            <w:tcW w:w="1104" w:type="dxa"/>
            <w:vMerge w:val="continue"/>
            <w:tcBorders>
              <w:tl2br w:val="nil"/>
              <w:tr2bl w:val="nil"/>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106" w:type="dxa"/>
            <w:vMerge w:val="continue"/>
            <w:tcBorders>
              <w:tl2br w:val="nil"/>
              <w:tr2bl w:val="nil"/>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25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工业稳增长和转型升级成效明显市（州）</w:t>
            </w:r>
          </w:p>
        </w:tc>
        <w:tc>
          <w:tcPr>
            <w:tcW w:w="11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获评</w:t>
            </w:r>
          </w:p>
        </w:tc>
        <w:tc>
          <w:tcPr>
            <w:tcW w:w="116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未开展</w:t>
            </w:r>
          </w:p>
        </w:tc>
        <w:tc>
          <w:tcPr>
            <w:tcW w:w="84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0</w:t>
            </w:r>
          </w:p>
        </w:tc>
        <w:tc>
          <w:tcPr>
            <w:tcW w:w="89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0</w:t>
            </w:r>
          </w:p>
        </w:tc>
        <w:tc>
          <w:tcPr>
            <w:tcW w:w="1456"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为进一步为基层减负，国务院2024年未对市州开展此项工作。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04" w:type="dxa"/>
            <w:vMerge w:val="continue"/>
            <w:tcBorders>
              <w:tl2br w:val="nil"/>
              <w:tr2bl w:val="nil"/>
            </w:tcBorders>
            <w:noWrap w:val="0"/>
            <w:vAlign w:val="center"/>
          </w:tcPr>
          <w:p>
            <w:pPr>
              <w:jc w:val="left"/>
              <w:rPr>
                <w:rFonts w:hint="default" w:ascii="Times New Roman" w:hAnsi="Times New Roman" w:eastAsia="仿宋_GB2312" w:cs="Times New Roman"/>
                <w:color w:val="000000"/>
                <w:sz w:val="20"/>
                <w:szCs w:val="20"/>
              </w:rPr>
            </w:pPr>
          </w:p>
        </w:tc>
        <w:tc>
          <w:tcPr>
            <w:tcW w:w="1104" w:type="dxa"/>
            <w:vMerge w:val="continue"/>
            <w:tcBorders>
              <w:tl2br w:val="nil"/>
              <w:tr2bl w:val="nil"/>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106" w:type="dxa"/>
            <w:vMerge w:val="continue"/>
            <w:tcBorders>
              <w:tl2br w:val="nil"/>
              <w:tr2bl w:val="nil"/>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25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国家智能制造先行区</w:t>
            </w:r>
          </w:p>
        </w:tc>
        <w:tc>
          <w:tcPr>
            <w:tcW w:w="11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获评</w:t>
            </w:r>
          </w:p>
        </w:tc>
        <w:tc>
          <w:tcPr>
            <w:tcW w:w="116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eastAsia="zh-CN"/>
              </w:rPr>
              <w:t>未开展</w:t>
            </w:r>
          </w:p>
        </w:tc>
        <w:tc>
          <w:tcPr>
            <w:tcW w:w="84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0</w:t>
            </w:r>
          </w:p>
        </w:tc>
        <w:tc>
          <w:tcPr>
            <w:tcW w:w="89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0</w:t>
            </w:r>
          </w:p>
        </w:tc>
        <w:tc>
          <w:tcPr>
            <w:tcW w:w="1456"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2021年的国家文件中有提到，近几年暂未收到相关评审文件。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04" w:type="dxa"/>
            <w:vMerge w:val="continue"/>
            <w:tcBorders>
              <w:tl2br w:val="nil"/>
              <w:tr2bl w:val="nil"/>
            </w:tcBorders>
            <w:noWrap w:val="0"/>
            <w:vAlign w:val="center"/>
          </w:tcPr>
          <w:p>
            <w:pPr>
              <w:jc w:val="left"/>
              <w:rPr>
                <w:rFonts w:hint="default" w:ascii="Times New Roman" w:hAnsi="Times New Roman" w:eastAsia="仿宋_GB2312" w:cs="Times New Roman"/>
                <w:color w:val="000000"/>
                <w:sz w:val="20"/>
                <w:szCs w:val="20"/>
              </w:rPr>
            </w:pPr>
          </w:p>
        </w:tc>
        <w:tc>
          <w:tcPr>
            <w:tcW w:w="1104" w:type="dxa"/>
            <w:vMerge w:val="continue"/>
            <w:tcBorders>
              <w:tl2br w:val="nil"/>
              <w:tr2bl w:val="nil"/>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10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5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完成率</w:t>
            </w:r>
          </w:p>
        </w:tc>
        <w:tc>
          <w:tcPr>
            <w:tcW w:w="11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100%</w:t>
            </w:r>
          </w:p>
        </w:tc>
        <w:tc>
          <w:tcPr>
            <w:tcW w:w="116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285%</w:t>
            </w:r>
          </w:p>
        </w:tc>
        <w:tc>
          <w:tcPr>
            <w:tcW w:w="84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8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1456"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04" w:type="dxa"/>
            <w:vMerge w:val="continue"/>
            <w:tcBorders>
              <w:tl2br w:val="nil"/>
              <w:tr2bl w:val="nil"/>
            </w:tcBorders>
            <w:noWrap w:val="0"/>
            <w:vAlign w:val="center"/>
          </w:tcPr>
          <w:p>
            <w:pPr>
              <w:jc w:val="left"/>
              <w:rPr>
                <w:rFonts w:hint="default" w:ascii="Times New Roman" w:hAnsi="Times New Roman" w:eastAsia="仿宋_GB2312" w:cs="Times New Roman"/>
                <w:color w:val="000000"/>
                <w:sz w:val="20"/>
                <w:szCs w:val="20"/>
              </w:rPr>
            </w:pPr>
          </w:p>
        </w:tc>
        <w:tc>
          <w:tcPr>
            <w:tcW w:w="1104" w:type="dxa"/>
            <w:vMerge w:val="continue"/>
            <w:tcBorders>
              <w:tl2br w:val="nil"/>
              <w:tr2bl w:val="nil"/>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10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5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资金到位时效</w:t>
            </w:r>
          </w:p>
        </w:tc>
        <w:tc>
          <w:tcPr>
            <w:tcW w:w="11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及时</w:t>
            </w:r>
          </w:p>
        </w:tc>
        <w:tc>
          <w:tcPr>
            <w:tcW w:w="116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及时</w:t>
            </w:r>
          </w:p>
        </w:tc>
        <w:tc>
          <w:tcPr>
            <w:tcW w:w="84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8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1456"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04" w:type="dxa"/>
            <w:vMerge w:val="continue"/>
            <w:tcBorders>
              <w:tl2br w:val="nil"/>
              <w:tr2bl w:val="nil"/>
            </w:tcBorders>
            <w:noWrap w:val="0"/>
            <w:vAlign w:val="center"/>
          </w:tcPr>
          <w:p>
            <w:pPr>
              <w:jc w:val="left"/>
              <w:rPr>
                <w:rFonts w:hint="default" w:ascii="Times New Roman" w:hAnsi="Times New Roman" w:eastAsia="仿宋_GB2312" w:cs="Times New Roman"/>
                <w:color w:val="000000"/>
                <w:sz w:val="20"/>
                <w:szCs w:val="20"/>
              </w:rPr>
            </w:pPr>
          </w:p>
        </w:tc>
        <w:tc>
          <w:tcPr>
            <w:tcW w:w="1104" w:type="dxa"/>
            <w:vMerge w:val="restart"/>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（20分）</w:t>
            </w:r>
          </w:p>
        </w:tc>
        <w:tc>
          <w:tcPr>
            <w:tcW w:w="110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53"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提高产品质量、企业品牌效益，助推企业上市实力和影响力</w:t>
            </w:r>
          </w:p>
        </w:tc>
        <w:tc>
          <w:tcPr>
            <w:tcW w:w="1164"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明显提升</w:t>
            </w:r>
          </w:p>
        </w:tc>
        <w:tc>
          <w:tcPr>
            <w:tcW w:w="116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明显提升</w:t>
            </w:r>
          </w:p>
        </w:tc>
        <w:tc>
          <w:tcPr>
            <w:tcW w:w="84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89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5</w:t>
            </w:r>
          </w:p>
        </w:tc>
        <w:tc>
          <w:tcPr>
            <w:tcW w:w="1456"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04" w:type="dxa"/>
            <w:vMerge w:val="continue"/>
            <w:tcBorders>
              <w:tl2br w:val="nil"/>
              <w:tr2bl w:val="nil"/>
            </w:tcBorders>
            <w:noWrap w:val="0"/>
            <w:vAlign w:val="center"/>
          </w:tcPr>
          <w:p>
            <w:pPr>
              <w:jc w:val="left"/>
              <w:rPr>
                <w:rFonts w:hint="default" w:ascii="Times New Roman" w:hAnsi="Times New Roman" w:eastAsia="仿宋_GB2312" w:cs="Times New Roman"/>
                <w:color w:val="000000"/>
                <w:sz w:val="20"/>
                <w:szCs w:val="20"/>
              </w:rPr>
            </w:pPr>
          </w:p>
        </w:tc>
        <w:tc>
          <w:tcPr>
            <w:tcW w:w="1104" w:type="dxa"/>
            <w:vMerge w:val="continue"/>
            <w:tcBorders>
              <w:tl2br w:val="nil"/>
              <w:tr2bl w:val="nil"/>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10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5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进一步提高我市“制造名城市”区域品牌效益</w:t>
            </w:r>
          </w:p>
        </w:tc>
        <w:tc>
          <w:tcPr>
            <w:tcW w:w="1164"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明显提升</w:t>
            </w:r>
          </w:p>
        </w:tc>
        <w:tc>
          <w:tcPr>
            <w:tcW w:w="116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明显提升</w:t>
            </w:r>
          </w:p>
        </w:tc>
        <w:tc>
          <w:tcPr>
            <w:tcW w:w="84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i w:val="0"/>
                <w:iCs w:val="0"/>
                <w:color w:val="000000"/>
                <w:kern w:val="0"/>
                <w:sz w:val="20"/>
                <w:szCs w:val="20"/>
                <w:u w:val="none"/>
                <w:lang w:val="en-US" w:eastAsia="zh-CN" w:bidi="ar"/>
              </w:rPr>
              <w:t>5</w:t>
            </w:r>
          </w:p>
        </w:tc>
        <w:tc>
          <w:tcPr>
            <w:tcW w:w="8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i w:val="0"/>
                <w:iCs w:val="0"/>
                <w:color w:val="000000"/>
                <w:kern w:val="0"/>
                <w:sz w:val="20"/>
                <w:szCs w:val="20"/>
                <w:u w:val="none"/>
                <w:lang w:val="en-US" w:eastAsia="zh-CN" w:bidi="ar"/>
              </w:rPr>
              <w:t>5</w:t>
            </w:r>
          </w:p>
        </w:tc>
        <w:tc>
          <w:tcPr>
            <w:tcW w:w="1456"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04" w:type="dxa"/>
            <w:vMerge w:val="continue"/>
            <w:tcBorders>
              <w:tl2br w:val="nil"/>
              <w:tr2bl w:val="nil"/>
            </w:tcBorders>
            <w:noWrap w:val="0"/>
            <w:vAlign w:val="center"/>
          </w:tcPr>
          <w:p>
            <w:pPr>
              <w:jc w:val="left"/>
              <w:rPr>
                <w:rFonts w:hint="default" w:ascii="Times New Roman" w:hAnsi="Times New Roman" w:eastAsia="仿宋_GB2312" w:cs="Times New Roman"/>
                <w:color w:val="000000"/>
                <w:sz w:val="20"/>
                <w:szCs w:val="20"/>
              </w:rPr>
            </w:pPr>
          </w:p>
        </w:tc>
        <w:tc>
          <w:tcPr>
            <w:tcW w:w="1104" w:type="dxa"/>
            <w:vMerge w:val="continue"/>
            <w:tcBorders>
              <w:tl2br w:val="nil"/>
              <w:tr2bl w:val="nil"/>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10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5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64"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6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4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89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456"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04" w:type="dxa"/>
            <w:vMerge w:val="continue"/>
            <w:tcBorders>
              <w:tl2br w:val="nil"/>
              <w:tr2bl w:val="nil"/>
            </w:tcBorders>
            <w:noWrap w:val="0"/>
            <w:vAlign w:val="center"/>
          </w:tcPr>
          <w:p>
            <w:pPr>
              <w:jc w:val="left"/>
              <w:rPr>
                <w:rFonts w:hint="default" w:ascii="Times New Roman" w:hAnsi="Times New Roman" w:eastAsia="仿宋_GB2312" w:cs="Times New Roman"/>
                <w:color w:val="000000"/>
                <w:sz w:val="20"/>
                <w:szCs w:val="20"/>
              </w:rPr>
            </w:pPr>
          </w:p>
        </w:tc>
        <w:tc>
          <w:tcPr>
            <w:tcW w:w="1104" w:type="dxa"/>
            <w:vMerge w:val="continue"/>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10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5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中小企业数字化转型试点城市</w:t>
            </w:r>
          </w:p>
        </w:tc>
        <w:tc>
          <w:tcPr>
            <w:tcW w:w="11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获评</w:t>
            </w:r>
          </w:p>
        </w:tc>
        <w:tc>
          <w:tcPr>
            <w:tcW w:w="116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eastAsia="zh-CN"/>
              </w:rPr>
              <w:t>获评</w:t>
            </w:r>
          </w:p>
        </w:tc>
        <w:tc>
          <w:tcPr>
            <w:tcW w:w="84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p>
        </w:tc>
        <w:tc>
          <w:tcPr>
            <w:tcW w:w="89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p>
        </w:tc>
        <w:tc>
          <w:tcPr>
            <w:tcW w:w="1456"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04" w:type="dxa"/>
            <w:vMerge w:val="continue"/>
            <w:tcBorders>
              <w:tl2br w:val="nil"/>
              <w:tr2bl w:val="nil"/>
            </w:tcBorders>
            <w:noWrap w:val="0"/>
            <w:vAlign w:val="center"/>
          </w:tcPr>
          <w:p>
            <w:pPr>
              <w:jc w:val="left"/>
              <w:rPr>
                <w:rFonts w:hint="default" w:ascii="Times New Roman" w:hAnsi="Times New Roman" w:eastAsia="仿宋_GB2312" w:cs="Times New Roman"/>
                <w:color w:val="000000"/>
                <w:sz w:val="20"/>
                <w:szCs w:val="20"/>
              </w:rPr>
            </w:pPr>
          </w:p>
        </w:tc>
        <w:tc>
          <w:tcPr>
            <w:tcW w:w="1104"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10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53"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企业满意度</w:t>
            </w:r>
          </w:p>
        </w:tc>
        <w:tc>
          <w:tcPr>
            <w:tcW w:w="1164"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≥80%</w:t>
            </w:r>
          </w:p>
        </w:tc>
        <w:tc>
          <w:tcPr>
            <w:tcW w:w="116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≥80%</w:t>
            </w:r>
          </w:p>
        </w:tc>
        <w:tc>
          <w:tcPr>
            <w:tcW w:w="84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10</w:t>
            </w:r>
          </w:p>
        </w:tc>
        <w:tc>
          <w:tcPr>
            <w:tcW w:w="89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eastAsia="zh-CN"/>
              </w:rPr>
              <w:t>10</w:t>
            </w:r>
          </w:p>
        </w:tc>
        <w:tc>
          <w:tcPr>
            <w:tcW w:w="1456"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04" w:type="dxa"/>
            <w:vMerge w:val="continue"/>
            <w:tcBorders>
              <w:tl2br w:val="nil"/>
              <w:tr2bl w:val="nil"/>
            </w:tcBorders>
            <w:noWrap w:val="0"/>
            <w:vAlign w:val="center"/>
          </w:tcPr>
          <w:p>
            <w:pPr>
              <w:jc w:val="left"/>
              <w:rPr>
                <w:rFonts w:hint="default" w:ascii="Times New Roman" w:hAnsi="Times New Roman" w:eastAsia="仿宋_GB2312" w:cs="Times New Roman"/>
                <w:color w:val="000000"/>
                <w:sz w:val="20"/>
                <w:szCs w:val="20"/>
              </w:rPr>
            </w:pPr>
          </w:p>
        </w:tc>
        <w:tc>
          <w:tcPr>
            <w:tcW w:w="1104" w:type="dxa"/>
            <w:vMerge w:val="restart"/>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成本指标（20分）</w:t>
            </w:r>
          </w:p>
        </w:tc>
        <w:tc>
          <w:tcPr>
            <w:tcW w:w="110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253"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剩余编撰咨询费用35.4万元</w:t>
            </w:r>
          </w:p>
        </w:tc>
        <w:tc>
          <w:tcPr>
            <w:tcW w:w="1164"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及时支付</w:t>
            </w:r>
          </w:p>
        </w:tc>
        <w:tc>
          <w:tcPr>
            <w:tcW w:w="116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按合同规定，及时支付费用</w:t>
            </w:r>
          </w:p>
        </w:tc>
        <w:tc>
          <w:tcPr>
            <w:tcW w:w="84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89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1456"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04" w:type="dxa"/>
            <w:vMerge w:val="continue"/>
            <w:tcBorders>
              <w:tl2br w:val="nil"/>
              <w:tr2bl w:val="nil"/>
            </w:tcBorders>
            <w:noWrap w:val="0"/>
            <w:vAlign w:val="center"/>
          </w:tcPr>
          <w:p>
            <w:pPr>
              <w:jc w:val="left"/>
              <w:rPr>
                <w:rFonts w:hint="default" w:ascii="Times New Roman" w:hAnsi="Times New Roman" w:eastAsia="仿宋_GB2312" w:cs="Times New Roman"/>
                <w:color w:val="000000"/>
                <w:sz w:val="20"/>
                <w:szCs w:val="20"/>
              </w:rPr>
            </w:pPr>
          </w:p>
        </w:tc>
        <w:tc>
          <w:tcPr>
            <w:tcW w:w="1104" w:type="dxa"/>
            <w:vMerge w:val="continue"/>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10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125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64"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6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4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9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456"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04"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000000"/>
                <w:sz w:val="20"/>
                <w:szCs w:val="20"/>
              </w:rPr>
            </w:pPr>
          </w:p>
        </w:tc>
        <w:tc>
          <w:tcPr>
            <w:tcW w:w="1104" w:type="dxa"/>
            <w:vMerge w:val="continue"/>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10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25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64"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161"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4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89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w:t>
            </w:r>
          </w:p>
        </w:tc>
        <w:tc>
          <w:tcPr>
            <w:tcW w:w="1456" w:type="dxa"/>
            <w:tcBorders>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892" w:type="dxa"/>
            <w:gridSpan w:val="6"/>
            <w:tcBorders>
              <w:tl2br w:val="nil"/>
              <w:tr2bl w:val="nil"/>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47"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89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456" w:type="dxa"/>
            <w:tcBorders>
              <w:tl2br w:val="nil"/>
              <w:tr2bl w:val="nil"/>
            </w:tcBorders>
            <w:noWrap w:val="0"/>
            <w:vAlign w:val="center"/>
          </w:tcPr>
          <w:p>
            <w:pPr>
              <w:widowControl/>
              <w:jc w:val="left"/>
              <w:rPr>
                <w:rFonts w:hint="default" w:ascii="Times New Roman" w:hAnsi="Times New Roman" w:eastAsia="仿宋_GB2312" w:cs="Times New Roman"/>
                <w:color w:val="000000"/>
                <w:sz w:val="20"/>
                <w:szCs w:val="20"/>
              </w:rPr>
            </w:pPr>
          </w:p>
        </w:tc>
      </w:tr>
    </w:tbl>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仿宋_GB2312" w:cs="Times New Roman"/>
          <w:sz w:val="28"/>
          <w:szCs w:val="28"/>
        </w:rPr>
        <w:br w:type="page"/>
      </w:r>
      <w:r>
        <w:rPr>
          <w:rFonts w:hint="default" w:ascii="Times New Roman" w:hAnsi="Times New Roman" w:eastAsia="方正小标宋简体" w:cs="Times New Roman"/>
          <w:color w:val="000000"/>
          <w:kern w:val="0"/>
          <w:sz w:val="41"/>
          <w:szCs w:val="41"/>
          <w:lang w:val="en-US" w:eastAsia="zh-CN" w:bidi="ar"/>
        </w:rPr>
        <w:t>“制造名城”走进西安活动经费</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1"/>
          <w:szCs w:val="41"/>
          <w:lang w:val="en-US" w:eastAsia="zh-CN" w:bidi="ar"/>
        </w:rPr>
        <w:t>绩效自评报告</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黑体" w:cs="Times New Roman"/>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一、预算收支出情况</w:t>
      </w:r>
      <w:r>
        <w:rPr>
          <w:rFonts w:hint="default" w:ascii="Times New Roman" w:hAnsi="Times New Roman" w:eastAsia="楷体" w:cs="Times New Roman"/>
          <w:b/>
          <w:bCs/>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0"/>
          <w:sz w:val="32"/>
          <w:szCs w:val="32"/>
          <w:highlight w:val="none"/>
          <w:lang w:bidi="ar"/>
        </w:rPr>
        <w:t>2024年预算</w:t>
      </w:r>
      <w:r>
        <w:rPr>
          <w:rFonts w:hint="default" w:ascii="Times New Roman" w:hAnsi="Times New Roman" w:eastAsia="仿宋_GB2312" w:cs="Times New Roman"/>
          <w:b w:val="0"/>
          <w:bCs w:val="0"/>
          <w:color w:val="000000"/>
          <w:kern w:val="0"/>
          <w:sz w:val="32"/>
          <w:szCs w:val="32"/>
          <w:highlight w:val="none"/>
          <w:lang w:val="en-US" w:eastAsia="zh-CN" w:bidi="ar"/>
        </w:rPr>
        <w:t>17.86</w:t>
      </w:r>
      <w:r>
        <w:rPr>
          <w:rFonts w:hint="default" w:ascii="Times New Roman" w:hAnsi="Times New Roman" w:eastAsia="仿宋_GB2312" w:cs="Times New Roman"/>
          <w:b w:val="0"/>
          <w:bCs w:val="0"/>
          <w:color w:val="000000"/>
          <w:kern w:val="0"/>
          <w:sz w:val="32"/>
          <w:szCs w:val="32"/>
          <w:highlight w:val="none"/>
          <w:lang w:bidi="ar"/>
        </w:rPr>
        <w:t>万元，其中年初预算</w:t>
      </w:r>
      <w:r>
        <w:rPr>
          <w:rFonts w:hint="eastAsia" w:ascii="Times New Roman" w:hAnsi="Times New Roman" w:eastAsia="仿宋_GB2312" w:cs="Times New Roman"/>
          <w:b w:val="0"/>
          <w:bCs w:val="0"/>
          <w:color w:val="000000"/>
          <w:kern w:val="0"/>
          <w:sz w:val="32"/>
          <w:szCs w:val="32"/>
          <w:highlight w:val="none"/>
          <w:lang w:val="en-US" w:eastAsia="zh-CN" w:bidi="ar"/>
        </w:rPr>
        <w:t>20</w:t>
      </w:r>
      <w:r>
        <w:rPr>
          <w:rFonts w:hint="default" w:ascii="Times New Roman" w:hAnsi="Times New Roman" w:eastAsia="仿宋_GB2312" w:cs="Times New Roman"/>
          <w:b w:val="0"/>
          <w:bCs w:val="0"/>
          <w:color w:val="000000"/>
          <w:kern w:val="0"/>
          <w:sz w:val="32"/>
          <w:szCs w:val="32"/>
          <w:highlight w:val="none"/>
          <w:lang w:bidi="ar"/>
        </w:rPr>
        <w:t>万元，实际支出</w:t>
      </w:r>
      <w:r>
        <w:rPr>
          <w:rFonts w:hint="default" w:ascii="Times New Roman" w:hAnsi="Times New Roman" w:eastAsia="仿宋_GB2312" w:cs="Times New Roman"/>
          <w:b w:val="0"/>
          <w:bCs w:val="0"/>
          <w:color w:val="000000"/>
          <w:kern w:val="0"/>
          <w:sz w:val="32"/>
          <w:szCs w:val="32"/>
          <w:highlight w:val="none"/>
          <w:lang w:val="en-US" w:eastAsia="zh-CN" w:bidi="ar"/>
        </w:rPr>
        <w:t>17.86</w:t>
      </w:r>
      <w:r>
        <w:rPr>
          <w:rFonts w:hint="default" w:ascii="Times New Roman" w:hAnsi="Times New Roman" w:eastAsia="仿宋_GB2312" w:cs="Times New Roman"/>
          <w:b w:val="0"/>
          <w:bCs w:val="0"/>
          <w:color w:val="000000"/>
          <w:kern w:val="0"/>
          <w:sz w:val="32"/>
          <w:szCs w:val="32"/>
          <w:highlight w:val="none"/>
          <w:lang w:bidi="ar"/>
        </w:rPr>
        <w:t xml:space="preserve">万元。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二、项目支出绩效情况</w:t>
      </w:r>
      <w:r>
        <w:rPr>
          <w:rFonts w:hint="default" w:ascii="Times New Roman" w:hAnsi="Times New Roman" w:eastAsia="楷体" w:cs="Times New Roman"/>
          <w:b/>
          <w:bCs/>
          <w:color w:val="000000"/>
          <w:kern w:val="0"/>
          <w:sz w:val="31"/>
          <w:szCs w:val="31"/>
          <w:lang w:val="en-US" w:eastAsia="zh-CN" w:bidi="ar"/>
        </w:rPr>
        <w:t xml:space="preserve"> </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“制造名城”走进西安系列活动执行服务采购项目，采购主要内容为：活动设计、现场布置、用车安排、用餐安排、氛围布置、场地搭建、多媒体设备租赁、会务组织、物料制作与采购等。具体实施情况如下：</w:t>
      </w:r>
    </w:p>
    <w:p>
      <w:pPr>
        <w:pStyle w:val="3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val="0"/>
          <w:bCs w:val="0"/>
          <w:sz w:val="32"/>
          <w:szCs w:val="32"/>
          <w:lang w:eastAsia="zh-CN"/>
        </w:rPr>
        <w:t>（一）企业选择有针对。</w:t>
      </w:r>
      <w:r>
        <w:rPr>
          <w:rFonts w:hint="default" w:ascii="Times New Roman" w:hAnsi="Times New Roman" w:eastAsia="仿宋_GB2312" w:cs="Times New Roman"/>
          <w:b/>
          <w:bCs/>
          <w:sz w:val="32"/>
          <w:szCs w:val="32"/>
          <w:lang w:eastAsia="zh-CN"/>
        </w:rPr>
        <w:t>一是做好顶层规划。</w:t>
      </w:r>
      <w:r>
        <w:rPr>
          <w:rFonts w:hint="default" w:ascii="Times New Roman" w:hAnsi="Times New Roman" w:eastAsia="仿宋_GB2312" w:cs="Times New Roman"/>
          <w:b w:val="0"/>
          <w:bCs w:val="0"/>
          <w:sz w:val="32"/>
          <w:szCs w:val="32"/>
          <w:lang w:eastAsia="zh-CN"/>
        </w:rPr>
        <w:t>聚焦全市“3+3+2”现代产业体系发展规划，围绕株机、株所、</w:t>
      </w:r>
      <w:r>
        <w:rPr>
          <w:rFonts w:hint="default" w:ascii="Times New Roman" w:hAnsi="Times New Roman" w:eastAsia="仿宋_GB2312" w:cs="Times New Roman"/>
          <w:b w:val="0"/>
          <w:bCs w:val="0"/>
          <w:sz w:val="32"/>
          <w:szCs w:val="32"/>
          <w:lang w:val="en-US" w:eastAsia="zh-CN"/>
        </w:rPr>
        <w:t>331、608等产业链龙头企业和84家专精特新“小巨人”企业的合作</w:t>
      </w:r>
      <w:r>
        <w:rPr>
          <w:rFonts w:hint="default" w:ascii="Times New Roman" w:hAnsi="Times New Roman" w:eastAsia="仿宋_GB2312" w:cs="Times New Roman"/>
          <w:b w:val="0"/>
          <w:bCs w:val="0"/>
          <w:sz w:val="32"/>
          <w:szCs w:val="32"/>
          <w:lang w:eastAsia="zh-CN"/>
        </w:rPr>
        <w:t>发展需要，分析目标城市的优势产业、重点企业，拟定考察学习企业名单，切实增强活动的针对性和实效性。</w:t>
      </w:r>
      <w:r>
        <w:rPr>
          <w:rFonts w:hint="default" w:ascii="Times New Roman" w:hAnsi="Times New Roman" w:eastAsia="仿宋_GB2312" w:cs="Times New Roman"/>
          <w:b/>
          <w:bCs/>
          <w:sz w:val="32"/>
          <w:szCs w:val="32"/>
          <w:lang w:eastAsia="zh-CN"/>
        </w:rPr>
        <w:t>二是做好实地考察。</w:t>
      </w:r>
      <w:r>
        <w:rPr>
          <w:rFonts w:hint="default" w:ascii="Times New Roman" w:hAnsi="Times New Roman" w:eastAsia="仿宋_GB2312" w:cs="Times New Roman"/>
          <w:sz w:val="32"/>
          <w:szCs w:val="32"/>
          <w:lang w:eastAsia="zh-CN"/>
        </w:rPr>
        <w:t>为确保活动顺利开展，我局提前赴西安与当地的工信部门开展前期对接，并实地走访多个备选企业，综合比较确定最终参观学习对象，并对考察线路、参观内容以及座谈会议程进行周密安排。</w:t>
      </w:r>
      <w:r>
        <w:rPr>
          <w:rFonts w:hint="default" w:ascii="Times New Roman" w:hAnsi="Times New Roman" w:eastAsia="仿宋_GB2312" w:cs="Times New Roman"/>
          <w:b/>
          <w:bCs/>
          <w:sz w:val="32"/>
          <w:szCs w:val="32"/>
          <w:lang w:eastAsia="zh-CN"/>
        </w:rPr>
        <w:t>三是做好前期梳理。</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val="en-US" w:eastAsia="zh-CN"/>
        </w:rPr>
        <w:t>确定好考察活动内容及具体行程后，</w:t>
      </w:r>
      <w:r>
        <w:rPr>
          <w:rFonts w:hint="default" w:ascii="Times New Roman" w:hAnsi="Times New Roman" w:eastAsia="仿宋_GB2312" w:cs="Times New Roman"/>
          <w:sz w:val="32"/>
          <w:szCs w:val="32"/>
          <w:lang w:eastAsia="zh-CN"/>
        </w:rPr>
        <w:t>针对性梳理契合本次活动主题的本市优质企业特别是国家专精特新“小巨人”企业，并由专人进行一对一联络邀请和收集汇总参与企业与参观企业的前期合作情况、后期供需请求，切实提高了参与企业的积极性与获得感，有效保障了活动开展的质量和效果。</w:t>
      </w:r>
    </w:p>
    <w:p>
      <w:pPr>
        <w:pStyle w:val="3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val="0"/>
          <w:bCs w:val="0"/>
          <w:sz w:val="32"/>
          <w:szCs w:val="32"/>
          <w:lang w:val="en-US" w:eastAsia="zh-CN"/>
        </w:rPr>
        <w:t>（二）契合实际有主题。</w:t>
      </w:r>
      <w:r>
        <w:rPr>
          <w:rFonts w:hint="default" w:ascii="Times New Roman" w:hAnsi="Times New Roman" w:eastAsia="仿宋_GB2312" w:cs="Times New Roman"/>
          <w:sz w:val="32"/>
          <w:szCs w:val="32"/>
          <w:lang w:val="en-US" w:eastAsia="zh-CN"/>
        </w:rPr>
        <w:t>根据市委市政府的战略规划和株洲本地企业的现实需求，进名企活动都会围绕一个主题进行开展。</w:t>
      </w:r>
      <w:r>
        <w:rPr>
          <w:rFonts w:hint="default" w:ascii="Times New Roman" w:hAnsi="Times New Roman" w:eastAsia="仿宋_GB2312" w:cs="Times New Roman"/>
          <w:b/>
          <w:bCs/>
          <w:sz w:val="32"/>
          <w:szCs w:val="32"/>
          <w:lang w:val="en-US" w:eastAsia="zh-CN"/>
        </w:rPr>
        <w:t>一是推进数智赋能。</w:t>
      </w:r>
      <w:r>
        <w:rPr>
          <w:rFonts w:hint="default" w:ascii="Times New Roman" w:hAnsi="Times New Roman" w:eastAsia="仿宋_GB2312" w:cs="Times New Roman"/>
          <w:sz w:val="32"/>
          <w:szCs w:val="32"/>
          <w:lang w:val="en-US" w:eastAsia="zh-CN"/>
        </w:rPr>
        <w:t>通过数智赋能，提升产能、提高人员效率、降低单位制造成本，为株洲企业推进数智赋能提供了优质的数字化转型案例。</w:t>
      </w:r>
      <w:r>
        <w:rPr>
          <w:rFonts w:hint="default" w:ascii="Times New Roman" w:hAnsi="Times New Roman" w:eastAsia="仿宋_GB2312" w:cs="Times New Roman"/>
          <w:b/>
          <w:bCs/>
          <w:sz w:val="32"/>
          <w:szCs w:val="32"/>
          <w:lang w:val="en-US" w:eastAsia="zh-CN"/>
        </w:rPr>
        <w:t>二是产学研合作。</w:t>
      </w:r>
      <w:r>
        <w:rPr>
          <w:rFonts w:hint="default" w:ascii="Times New Roman" w:hAnsi="Times New Roman" w:eastAsia="仿宋_GB2312" w:cs="Times New Roman"/>
          <w:sz w:val="32"/>
          <w:szCs w:val="32"/>
          <w:lang w:val="en-US" w:eastAsia="zh-CN"/>
        </w:rPr>
        <w:t>西安航空产业发达，多年坚持产学研深度融合，实现技术、产业、人才的三轨发展，与株洲的创新以企业为主导，有着“厂所结合”的基因密码，优势产业有“一厂一所”的配置特点有着“异曲同工”之妙。</w:t>
      </w:r>
      <w:r>
        <w:rPr>
          <w:rFonts w:hint="default" w:ascii="Times New Roman" w:hAnsi="Times New Roman" w:eastAsia="仿宋_GB2312" w:cs="Times New Roman"/>
          <w:b/>
          <w:bCs/>
          <w:sz w:val="32"/>
          <w:szCs w:val="32"/>
          <w:lang w:val="en-US" w:eastAsia="zh-CN"/>
        </w:rPr>
        <w:t>三是聚焦航空与北斗产业。</w:t>
      </w:r>
      <w:r>
        <w:rPr>
          <w:rFonts w:hint="default" w:ascii="Times New Roman" w:hAnsi="Times New Roman" w:eastAsia="仿宋_GB2312" w:cs="Times New Roman"/>
          <w:sz w:val="32"/>
          <w:szCs w:val="32"/>
          <w:lang w:val="en-US" w:eastAsia="zh-CN"/>
        </w:rPr>
        <w:t>中国航发西控科技与中国电科二十所紧抓航空航天、北斗应用产业发展机遇，致力北斗系统建设、应用技术研究，其相关经验推动了株洲通用航空与北斗产业链进一步转型升级。</w:t>
      </w:r>
    </w:p>
    <w:p>
      <w:pPr>
        <w:pStyle w:val="3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K" w:cs="Times New Roman"/>
          <w:sz w:val="32"/>
          <w:szCs w:val="32"/>
          <w:lang w:eastAsia="zh-CN"/>
        </w:rPr>
        <w:t>（三）活动扎实有成效。</w:t>
      </w:r>
      <w:r>
        <w:rPr>
          <w:rFonts w:hint="default" w:ascii="Times New Roman" w:hAnsi="Times New Roman" w:eastAsia="方正仿宋_GBK" w:cs="Times New Roman"/>
          <w:b/>
          <w:bCs/>
          <w:sz w:val="32"/>
          <w:szCs w:val="32"/>
          <w:lang w:eastAsia="zh-CN"/>
        </w:rPr>
        <w:t>一是学习先进经验。</w:t>
      </w:r>
      <w:r>
        <w:rPr>
          <w:rFonts w:hint="default" w:ascii="Times New Roman" w:hAnsi="Times New Roman" w:eastAsia="仿宋_GB2312" w:cs="Times New Roman"/>
          <w:sz w:val="32"/>
          <w:szCs w:val="32"/>
          <w:lang w:eastAsia="zh-CN"/>
        </w:rPr>
        <w:t>通过实地参观与交流学习西安地区先进企业在数智赋能、产学研结合、基础创新方面的理念和经验，不仅开拓了随行企业家眼界，更进一步增强了株洲企业家的发展信心。通过“走出去”把优秀经验“带回来”，持续推动株洲企业</w:t>
      </w:r>
      <w:r>
        <w:rPr>
          <w:rFonts w:hint="default" w:ascii="Times New Roman" w:hAnsi="Times New Roman" w:eastAsia="仿宋_GB2312" w:cs="Times New Roman"/>
          <w:sz w:val="32"/>
          <w:szCs w:val="32"/>
        </w:rPr>
        <w:t>不断优化创新生态，在对标、追标中实现脱胎换骨、转型发展</w:t>
      </w:r>
      <w:r>
        <w:rPr>
          <w:rFonts w:hint="default" w:ascii="Times New Roman" w:hAnsi="Times New Roman" w:eastAsia="仿宋_GB2312" w:cs="Times New Roman"/>
          <w:sz w:val="32"/>
          <w:szCs w:val="32"/>
          <w:lang w:eastAsia="zh-CN"/>
        </w:rPr>
        <w:t>，全面提升企业核心竞争力。</w:t>
      </w:r>
      <w:r>
        <w:rPr>
          <w:rFonts w:hint="default" w:ascii="Times New Roman" w:hAnsi="Times New Roman" w:eastAsia="仿宋_GB2312" w:cs="Times New Roman"/>
          <w:b/>
          <w:bCs/>
          <w:sz w:val="32"/>
          <w:szCs w:val="32"/>
          <w:lang w:eastAsia="zh-CN"/>
        </w:rPr>
        <w:t>二是搭建沟通机制。</w:t>
      </w:r>
      <w:r>
        <w:rPr>
          <w:rFonts w:hint="default" w:ascii="Times New Roman" w:hAnsi="Times New Roman" w:eastAsia="仿宋_GB2312" w:cs="Times New Roman"/>
          <w:sz w:val="32"/>
          <w:szCs w:val="32"/>
          <w:lang w:eastAsia="zh-CN"/>
        </w:rPr>
        <w:t>通过“制造名城”进“名企”这个政府搭建的交流平台，本市随行的中小企业打通了与产业链龙头企业的沟通渠道，相互之间建立了良性的沟通机制，达成了广泛的合作共识，为以后的长期合作打下了良好的基础。</w:t>
      </w:r>
    </w:p>
    <w:p>
      <w:pPr>
        <w:keepNext w:val="0"/>
        <w:keepLines w:val="0"/>
        <w:pageBreakBefore w:val="0"/>
        <w:widowControl w:val="0"/>
        <w:suppressLineNumbers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 w:cs="Times New Roman"/>
          <w:b w:val="0"/>
          <w:bCs w:val="0"/>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spacing w:line="578" w:lineRule="exact"/>
        <w:jc w:val="both"/>
        <w:textAlignment w:val="auto"/>
        <w:rPr>
          <w:rFonts w:hint="default" w:ascii="Times New Roman" w:hAnsi="Times New Roman" w:eastAsia="方正大标宋简体" w:cs="Times New Roman"/>
          <w:color w:val="000000"/>
          <w:sz w:val="36"/>
          <w:szCs w:val="36"/>
        </w:rPr>
        <w:sectPr>
          <w:footerReference r:id="rId21" w:type="default"/>
          <w:pgSz w:w="11906" w:h="16838"/>
          <w:pgMar w:top="1984" w:right="1531" w:bottom="1701" w:left="1531" w:header="851" w:footer="1588" w:gutter="0"/>
          <w:cols w:space="720" w:num="1"/>
          <w:docGrid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kern w:val="0"/>
          <w:sz w:val="41"/>
          <w:szCs w:val="41"/>
          <w:lang w:val="en-US" w:eastAsia="zh-CN" w:bidi="ar"/>
        </w:rPr>
      </w:pPr>
      <w:r>
        <w:rPr>
          <w:rFonts w:hint="default" w:ascii="Times New Roman" w:hAnsi="Times New Roman" w:eastAsia="方正小标宋简体" w:cs="Times New Roman"/>
          <w:color w:val="000000"/>
          <w:kern w:val="0"/>
          <w:sz w:val="41"/>
          <w:szCs w:val="41"/>
          <w:lang w:val="en-US" w:eastAsia="zh-CN" w:bidi="ar"/>
        </w:rPr>
        <w:t>2024年度项目支出绩效自评表</w:t>
      </w:r>
    </w:p>
    <w:tbl>
      <w:tblPr>
        <w:tblStyle w:val="22"/>
        <w:tblW w:w="9839" w:type="dxa"/>
        <w:jc w:val="center"/>
        <w:tblLayout w:type="autofit"/>
        <w:tblCellMar>
          <w:top w:w="0" w:type="dxa"/>
          <w:left w:w="108" w:type="dxa"/>
          <w:bottom w:w="0" w:type="dxa"/>
          <w:right w:w="108" w:type="dxa"/>
        </w:tblCellMar>
      </w:tblPr>
      <w:tblGrid>
        <w:gridCol w:w="1077"/>
        <w:gridCol w:w="1077"/>
        <w:gridCol w:w="1079"/>
        <w:gridCol w:w="1090"/>
        <w:gridCol w:w="1100"/>
        <w:gridCol w:w="1440"/>
        <w:gridCol w:w="685"/>
        <w:gridCol w:w="871"/>
        <w:gridCol w:w="1420"/>
      </w:tblGrid>
      <w:tr>
        <w:tblPrEx>
          <w:tblCellMar>
            <w:top w:w="0" w:type="dxa"/>
            <w:left w:w="108" w:type="dxa"/>
            <w:bottom w:w="0" w:type="dxa"/>
            <w:right w:w="108" w:type="dxa"/>
          </w:tblCellMar>
        </w:tblPrEx>
        <w:trPr>
          <w:trHeight w:val="467"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62"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“制造名城”走进西安活动</w:t>
            </w:r>
            <w:r>
              <w:rPr>
                <w:rFonts w:hint="eastAsia" w:ascii="Times New Roman" w:hAnsi="Times New Roman" w:eastAsia="仿宋_GB2312" w:cs="Times New Roman"/>
                <w:color w:val="000000"/>
                <w:sz w:val="20"/>
                <w:szCs w:val="20"/>
                <w:lang w:eastAsia="zh-CN"/>
              </w:rPr>
              <w:t>经费</w:t>
            </w:r>
          </w:p>
        </w:tc>
      </w:tr>
      <w:tr>
        <w:tblPrEx>
          <w:tblCellMar>
            <w:top w:w="0" w:type="dxa"/>
            <w:left w:w="108" w:type="dxa"/>
            <w:bottom w:w="0" w:type="dxa"/>
            <w:right w:w="108" w:type="dxa"/>
          </w:tblCellMar>
        </w:tblPrEx>
        <w:trPr>
          <w:trHeight w:val="368" w:hRule="atLeast"/>
          <w:jc w:val="center"/>
        </w:trPr>
        <w:tc>
          <w:tcPr>
            <w:tcW w:w="107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346"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株洲市工业和信息化局</w:t>
            </w:r>
          </w:p>
        </w:tc>
        <w:tc>
          <w:tcPr>
            <w:tcW w:w="1440"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976"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株洲市工业和信息化局机关</w:t>
            </w:r>
          </w:p>
        </w:tc>
      </w:tr>
      <w:tr>
        <w:tblPrEx>
          <w:tblCellMar>
            <w:top w:w="0" w:type="dxa"/>
            <w:left w:w="108" w:type="dxa"/>
            <w:bottom w:w="0" w:type="dxa"/>
            <w:right w:w="108" w:type="dxa"/>
          </w:tblCellMar>
        </w:tblPrEx>
        <w:trPr>
          <w:trHeight w:val="449"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0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44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68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2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385"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0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10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w:t>
            </w:r>
            <w:r>
              <w:rPr>
                <w:rFonts w:hint="eastAsia" w:ascii="Times New Roman" w:hAnsi="Times New Roman" w:eastAsia="仿宋_GB2312" w:cs="Times New Roman"/>
                <w:color w:val="000000"/>
                <w:sz w:val="20"/>
                <w:szCs w:val="20"/>
                <w:lang w:val="en-US" w:eastAsia="zh-CN"/>
              </w:rPr>
              <w:t>7.</w:t>
            </w:r>
            <w:r>
              <w:rPr>
                <w:rFonts w:hint="default" w:ascii="Times New Roman" w:hAnsi="Times New Roman" w:eastAsia="仿宋_GB2312" w:cs="Times New Roman"/>
                <w:color w:val="000000"/>
                <w:sz w:val="20"/>
                <w:szCs w:val="20"/>
                <w:lang w:val="en-US" w:eastAsia="zh-CN"/>
              </w:rPr>
              <w:t>8</w:t>
            </w:r>
            <w:r>
              <w:rPr>
                <w:rFonts w:hint="eastAsia" w:ascii="Times New Roman" w:hAnsi="Times New Roman" w:eastAsia="仿宋_GB2312" w:cs="Times New Roman"/>
                <w:color w:val="000000"/>
                <w:sz w:val="20"/>
                <w:szCs w:val="20"/>
                <w:lang w:val="en-US" w:eastAsia="zh-CN"/>
              </w:rPr>
              <w:t>6</w:t>
            </w:r>
          </w:p>
        </w:tc>
        <w:tc>
          <w:tcPr>
            <w:tcW w:w="14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17.86</w:t>
            </w:r>
          </w:p>
        </w:tc>
        <w:tc>
          <w:tcPr>
            <w:tcW w:w="6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r>
      <w:tr>
        <w:tblPrEx>
          <w:tblCellMar>
            <w:top w:w="0" w:type="dxa"/>
            <w:left w:w="108" w:type="dxa"/>
            <w:bottom w:w="0" w:type="dxa"/>
            <w:right w:w="108" w:type="dxa"/>
          </w:tblCellMar>
        </w:tblPrEx>
        <w:trPr>
          <w:trHeight w:val="347"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0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0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6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0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10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6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77" w:type="dxa"/>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0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10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w:t>
            </w:r>
            <w:r>
              <w:rPr>
                <w:rFonts w:hint="eastAsia" w:ascii="Times New Roman" w:hAnsi="Times New Roman" w:eastAsia="仿宋_GB2312" w:cs="Times New Roman"/>
                <w:color w:val="000000"/>
                <w:sz w:val="20"/>
                <w:szCs w:val="20"/>
                <w:lang w:val="en-US" w:eastAsia="zh-CN"/>
              </w:rPr>
              <w:t>7.</w:t>
            </w:r>
            <w:r>
              <w:rPr>
                <w:rFonts w:hint="default" w:ascii="Times New Roman" w:hAnsi="Times New Roman" w:eastAsia="仿宋_GB2312" w:cs="Times New Roman"/>
                <w:color w:val="000000"/>
                <w:sz w:val="20"/>
                <w:szCs w:val="20"/>
                <w:lang w:val="en-US" w:eastAsia="zh-CN"/>
              </w:rPr>
              <w:t>8</w:t>
            </w:r>
            <w:r>
              <w:rPr>
                <w:rFonts w:hint="eastAsia" w:ascii="Times New Roman" w:hAnsi="Times New Roman" w:eastAsia="仿宋_GB2312" w:cs="Times New Roman"/>
                <w:color w:val="000000"/>
                <w:sz w:val="20"/>
                <w:szCs w:val="20"/>
                <w:lang w:val="en-US" w:eastAsia="zh-CN"/>
              </w:rPr>
              <w:t>6</w:t>
            </w:r>
          </w:p>
        </w:tc>
        <w:tc>
          <w:tcPr>
            <w:tcW w:w="14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17.86</w:t>
            </w:r>
          </w:p>
        </w:tc>
        <w:tc>
          <w:tcPr>
            <w:tcW w:w="6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trHeight w:val="386"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346"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416"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1018"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4346" w:type="dxa"/>
            <w:gridSpan w:val="4"/>
            <w:tcBorders>
              <w:top w:val="single" w:color="auto" w:sz="4" w:space="0"/>
              <w:left w:val="nil"/>
              <w:bottom w:val="single" w:color="auto" w:sz="4" w:space="0"/>
              <w:right w:val="single" w:color="000000" w:sz="4" w:space="0"/>
            </w:tcBorders>
            <w:noWrap w:val="0"/>
            <w:vAlign w:val="center"/>
          </w:tcPr>
          <w:p>
            <w:pPr>
              <w:widowControl/>
              <w:jc w:val="both"/>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完成市委市政府交办的制造名城进西安系列安排，助推本市企业学习发达地区先进标杆企业在研发设计、数智赋能、质量提升、内部管理等先进经验与做法</w:t>
            </w:r>
            <w:r>
              <w:rPr>
                <w:rFonts w:hint="default" w:ascii="Times New Roman" w:hAnsi="Times New Roman" w:eastAsia="仿宋_GB2312" w:cs="Times New Roman"/>
                <w:color w:val="000000"/>
                <w:sz w:val="20"/>
                <w:szCs w:val="20"/>
                <w:lang w:eastAsia="zh-CN"/>
              </w:rPr>
              <w:t>。</w:t>
            </w:r>
          </w:p>
        </w:tc>
        <w:tc>
          <w:tcPr>
            <w:tcW w:w="4416"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全面</w:t>
            </w:r>
            <w:r>
              <w:rPr>
                <w:rFonts w:hint="default" w:ascii="Times New Roman" w:hAnsi="Times New Roman" w:eastAsia="仿宋_GB2312" w:cs="Times New Roman"/>
                <w:color w:val="000000"/>
                <w:sz w:val="20"/>
                <w:szCs w:val="20"/>
              </w:rPr>
              <w:t>完成市委市政府交办的制造名城进西安系列</w:t>
            </w:r>
            <w:r>
              <w:rPr>
                <w:rFonts w:hint="default" w:ascii="Times New Roman" w:hAnsi="Times New Roman" w:eastAsia="仿宋_GB2312" w:cs="Times New Roman"/>
                <w:color w:val="000000"/>
                <w:sz w:val="20"/>
                <w:szCs w:val="20"/>
                <w:lang w:eastAsia="zh-CN"/>
              </w:rPr>
              <w:t>活动</w:t>
            </w:r>
            <w:r>
              <w:rPr>
                <w:rFonts w:hint="default"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lang w:eastAsia="zh-CN"/>
              </w:rPr>
              <w:t>推动了</w:t>
            </w:r>
            <w:r>
              <w:rPr>
                <w:rFonts w:hint="default" w:ascii="Times New Roman" w:hAnsi="Times New Roman" w:eastAsia="仿宋_GB2312" w:cs="Times New Roman"/>
                <w:color w:val="000000"/>
                <w:sz w:val="20"/>
                <w:szCs w:val="20"/>
              </w:rPr>
              <w:t>本市企业学习发达地区先进标杆企业在研发设计、数智赋能、质量提升、内部管理等先进经验与做法</w:t>
            </w:r>
            <w:r>
              <w:rPr>
                <w:rFonts w:hint="default" w:ascii="Times New Roman" w:hAnsi="Times New Roman" w:eastAsia="仿宋_GB2312" w:cs="Times New Roman"/>
                <w:color w:val="000000"/>
                <w:sz w:val="20"/>
                <w:szCs w:val="20"/>
                <w:lang w:eastAsia="zh-CN"/>
              </w:rPr>
              <w:t>。</w:t>
            </w:r>
          </w:p>
        </w:tc>
      </w:tr>
      <w:tr>
        <w:tblPrEx>
          <w:tblCellMar>
            <w:top w:w="0" w:type="dxa"/>
            <w:left w:w="108" w:type="dxa"/>
            <w:bottom w:w="0" w:type="dxa"/>
            <w:right w:w="108" w:type="dxa"/>
          </w:tblCellMar>
        </w:tblPrEx>
        <w:trPr>
          <w:trHeight w:val="543" w:hRule="atLeast"/>
          <w:jc w:val="center"/>
        </w:trPr>
        <w:tc>
          <w:tcPr>
            <w:tcW w:w="1077"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09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44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6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及改进措施</w:t>
            </w:r>
          </w:p>
        </w:tc>
      </w:tr>
      <w:tr>
        <w:tblPrEx>
          <w:tblCellMar>
            <w:top w:w="0" w:type="dxa"/>
            <w:left w:w="108" w:type="dxa"/>
            <w:bottom w:w="0" w:type="dxa"/>
            <w:right w:w="108" w:type="dxa"/>
          </w:tblCellMar>
        </w:tblPrEx>
        <w:trPr>
          <w:trHeight w:val="335" w:hRule="atLeast"/>
          <w:jc w:val="center"/>
        </w:trPr>
        <w:tc>
          <w:tcPr>
            <w:tcW w:w="1077"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40分</w:t>
            </w:r>
            <w:r>
              <w:rPr>
                <w:rFonts w:hint="default" w:ascii="Times New Roman" w:hAnsi="Times New Roman" w:eastAsia="仿宋_GB2312" w:cs="Times New Roman"/>
                <w:color w:val="000000"/>
                <w:sz w:val="20"/>
                <w:szCs w:val="20"/>
                <w:lang w:eastAsia="zh-CN"/>
              </w:rPr>
              <w:t>）</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09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服务人员</w:t>
            </w:r>
          </w:p>
        </w:tc>
        <w:tc>
          <w:tcPr>
            <w:tcW w:w="11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东文宋体" w:hAnsi="东文宋体" w:eastAsia="东文宋体" w:cs="东文宋体"/>
                <w:color w:val="000000"/>
                <w:sz w:val="20"/>
                <w:szCs w:val="20"/>
              </w:rPr>
              <w:t>≥</w:t>
            </w:r>
            <w:r>
              <w:rPr>
                <w:rFonts w:hint="default" w:ascii="Times New Roman" w:hAnsi="Times New Roman" w:eastAsia="仿宋_GB2312" w:cs="Times New Roman"/>
                <w:color w:val="000000"/>
                <w:sz w:val="20"/>
                <w:szCs w:val="20"/>
                <w:lang w:val="en-US"/>
              </w:rPr>
              <w:t>60</w:t>
            </w:r>
            <w:r>
              <w:rPr>
                <w:rFonts w:hint="default" w:ascii="Times New Roman" w:hAnsi="Times New Roman" w:eastAsia="仿宋_GB2312" w:cs="Times New Roman"/>
                <w:color w:val="000000"/>
                <w:sz w:val="20"/>
                <w:szCs w:val="20"/>
                <w:lang w:val="en-US" w:eastAsia="zh-CN"/>
              </w:rPr>
              <w:t>人</w:t>
            </w:r>
          </w:p>
        </w:tc>
        <w:tc>
          <w:tcPr>
            <w:tcW w:w="144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rPr>
              <w:t>80</w:t>
            </w:r>
            <w:r>
              <w:rPr>
                <w:rFonts w:hint="default" w:ascii="Times New Roman" w:hAnsi="Times New Roman" w:eastAsia="仿宋_GB2312" w:cs="Times New Roman"/>
                <w:color w:val="000000"/>
                <w:sz w:val="20"/>
                <w:szCs w:val="20"/>
                <w:lang w:val="en-US" w:eastAsia="zh-CN"/>
              </w:rPr>
              <w:t>人</w:t>
            </w:r>
          </w:p>
        </w:tc>
        <w:tc>
          <w:tcPr>
            <w:tcW w:w="6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266" w:hRule="atLeast"/>
          <w:jc w:val="center"/>
        </w:trPr>
        <w:tc>
          <w:tcPr>
            <w:tcW w:w="1077"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09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完成任务</w:t>
            </w:r>
          </w:p>
        </w:tc>
        <w:tc>
          <w:tcPr>
            <w:tcW w:w="11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完成任务</w:t>
            </w:r>
          </w:p>
        </w:tc>
        <w:tc>
          <w:tcPr>
            <w:tcW w:w="144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全面</w:t>
            </w:r>
            <w:r>
              <w:rPr>
                <w:rFonts w:hint="default" w:ascii="Times New Roman" w:hAnsi="Times New Roman" w:eastAsia="仿宋_GB2312" w:cs="Times New Roman"/>
                <w:color w:val="000000"/>
                <w:sz w:val="20"/>
                <w:szCs w:val="20"/>
              </w:rPr>
              <w:t>完成市委市政府交办的各项议程</w:t>
            </w:r>
          </w:p>
        </w:tc>
        <w:tc>
          <w:tcPr>
            <w:tcW w:w="6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09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及时支付</w:t>
            </w:r>
          </w:p>
        </w:tc>
        <w:tc>
          <w:tcPr>
            <w:tcW w:w="11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及时支付</w:t>
            </w:r>
          </w:p>
        </w:tc>
        <w:tc>
          <w:tcPr>
            <w:tcW w:w="144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项目完成后资金及时拨付</w:t>
            </w:r>
          </w:p>
        </w:tc>
        <w:tc>
          <w:tcPr>
            <w:tcW w:w="6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09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带动企业加强对外联络</w:t>
            </w:r>
          </w:p>
        </w:tc>
        <w:tc>
          <w:tcPr>
            <w:tcW w:w="110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带动企业加强对外联络</w:t>
            </w:r>
          </w:p>
        </w:tc>
        <w:tc>
          <w:tcPr>
            <w:tcW w:w="144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组织企业与西安高校、知名企业开展对接</w:t>
            </w:r>
          </w:p>
        </w:tc>
        <w:tc>
          <w:tcPr>
            <w:tcW w:w="6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09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带动企业走专精特新之路</w:t>
            </w:r>
          </w:p>
        </w:tc>
        <w:tc>
          <w:tcPr>
            <w:tcW w:w="110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带动企业走专精特新之路</w:t>
            </w:r>
          </w:p>
        </w:tc>
        <w:tc>
          <w:tcPr>
            <w:tcW w:w="144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2024年全年新增省级专精特新中小企业116家，新增国家专精特新小巨人企业7家。</w:t>
            </w:r>
          </w:p>
        </w:tc>
        <w:tc>
          <w:tcPr>
            <w:tcW w:w="6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09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生态效益优化</w:t>
            </w:r>
          </w:p>
        </w:tc>
        <w:tc>
          <w:tcPr>
            <w:tcW w:w="11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持续优化</w:t>
            </w:r>
          </w:p>
        </w:tc>
        <w:tc>
          <w:tcPr>
            <w:tcW w:w="144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全市产业发展生态持续优化。</w:t>
            </w:r>
          </w:p>
        </w:tc>
        <w:tc>
          <w:tcPr>
            <w:tcW w:w="6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6" w:hRule="atLeast"/>
          <w:jc w:val="center"/>
        </w:trPr>
        <w:tc>
          <w:tcPr>
            <w:tcW w:w="1077"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09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产业发展环境改善</w:t>
            </w:r>
          </w:p>
        </w:tc>
        <w:tc>
          <w:tcPr>
            <w:tcW w:w="110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持续优化</w:t>
            </w:r>
          </w:p>
        </w:tc>
        <w:tc>
          <w:tcPr>
            <w:tcW w:w="144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企业获得感增强，参与度提升。</w:t>
            </w:r>
          </w:p>
        </w:tc>
        <w:tc>
          <w:tcPr>
            <w:tcW w:w="6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15" w:hRule="atLeast"/>
          <w:jc w:val="center"/>
        </w:trPr>
        <w:tc>
          <w:tcPr>
            <w:tcW w:w="1077"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09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10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东文宋体" w:hAnsi="东文宋体" w:eastAsia="东文宋体" w:cs="东文宋体"/>
                <w:color w:val="000000"/>
                <w:sz w:val="20"/>
                <w:szCs w:val="20"/>
              </w:rPr>
              <w:t>≥</w:t>
            </w:r>
            <w:r>
              <w:rPr>
                <w:rFonts w:hint="eastAsia" w:ascii="Times New Roman" w:hAnsi="Times New Roman" w:eastAsia="仿宋_GB2312" w:cs="Times New Roman"/>
                <w:color w:val="000000"/>
                <w:sz w:val="20"/>
                <w:szCs w:val="20"/>
                <w:lang w:val="en-US" w:eastAsia="zh-CN"/>
              </w:rPr>
              <w:t>90%</w:t>
            </w:r>
          </w:p>
        </w:tc>
        <w:tc>
          <w:tcPr>
            <w:tcW w:w="144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eastAsia="zh-CN"/>
              </w:rPr>
              <w:t>服务对象满意度超过</w:t>
            </w:r>
            <w:r>
              <w:rPr>
                <w:rFonts w:hint="default" w:ascii="Times New Roman" w:hAnsi="Times New Roman" w:eastAsia="仿宋_GB2312" w:cs="Times New Roman"/>
                <w:color w:val="000000"/>
                <w:sz w:val="20"/>
                <w:szCs w:val="20"/>
                <w:lang w:val="en-US" w:eastAsia="zh-CN"/>
              </w:rPr>
              <w:t>90%</w:t>
            </w:r>
          </w:p>
        </w:tc>
        <w:tc>
          <w:tcPr>
            <w:tcW w:w="6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15" w:hRule="atLeast"/>
          <w:jc w:val="center"/>
        </w:trPr>
        <w:tc>
          <w:tcPr>
            <w:tcW w:w="1077" w:type="dxa"/>
            <w:vMerge w:val="continue"/>
            <w:tcBorders>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成本指标（20分）</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经济成本指标</w:t>
            </w:r>
          </w:p>
        </w:tc>
        <w:tc>
          <w:tcPr>
            <w:tcW w:w="109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政府购买服务</w:t>
            </w:r>
            <w:r>
              <w:rPr>
                <w:rFonts w:hint="eastAsia" w:ascii="Times New Roman" w:hAnsi="Times New Roman" w:eastAsia="仿宋_GB2312" w:cs="Times New Roman"/>
                <w:color w:val="000000"/>
                <w:sz w:val="20"/>
                <w:szCs w:val="20"/>
                <w:lang w:eastAsia="zh-CN"/>
              </w:rPr>
              <w:t>控制金额</w:t>
            </w:r>
          </w:p>
        </w:tc>
        <w:tc>
          <w:tcPr>
            <w:tcW w:w="11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东文宋体" w:hAnsi="东文宋体" w:eastAsia="东文宋体" w:cs="东文宋体"/>
                <w:color w:val="000000"/>
                <w:sz w:val="20"/>
                <w:szCs w:val="20"/>
              </w:rPr>
              <w:t>≤</w:t>
            </w:r>
            <w:r>
              <w:rPr>
                <w:rFonts w:hint="eastAsia" w:ascii="Times New Roman" w:hAnsi="Times New Roman" w:eastAsia="仿宋_GB2312" w:cs="Times New Roman"/>
                <w:color w:val="000000"/>
                <w:sz w:val="20"/>
                <w:szCs w:val="20"/>
                <w:lang w:val="en-US" w:eastAsia="zh-CN"/>
              </w:rPr>
              <w:t>17.9万元</w:t>
            </w:r>
          </w:p>
        </w:tc>
        <w:tc>
          <w:tcPr>
            <w:tcW w:w="144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17.86万元</w:t>
            </w:r>
          </w:p>
        </w:tc>
        <w:tc>
          <w:tcPr>
            <w:tcW w:w="6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07" w:hRule="atLeast"/>
          <w:jc w:val="center"/>
        </w:trPr>
        <w:tc>
          <w:tcPr>
            <w:tcW w:w="6863"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r>
    </w:tbl>
    <w:p>
      <w:pPr>
        <w:keepNext w:val="0"/>
        <w:keepLines w:val="0"/>
        <w:pageBreakBefore w:val="0"/>
        <w:widowControl w:val="0"/>
        <w:tabs>
          <w:tab w:val="left" w:pos="7560"/>
        </w:tabs>
        <w:kinsoku/>
        <w:wordWrap/>
        <w:overflowPunct/>
        <w:topLinePunct w:val="0"/>
        <w:autoSpaceDE/>
        <w:autoSpaceDN/>
        <w:bidi w:val="0"/>
        <w:adjustRightInd w:val="0"/>
        <w:snapToGrid w:val="0"/>
        <w:spacing w:line="20" w:lineRule="exact"/>
        <w:jc w:val="left"/>
        <w:textAlignment w:val="auto"/>
        <w:rPr>
          <w:rFonts w:hint="default" w:ascii="Times New Roman" w:hAnsi="Times New Roman" w:eastAsia="仿宋_GB2312" w:cs="Times New Roman"/>
          <w:sz w:val="28"/>
          <w:szCs w:val="28"/>
        </w:rPr>
      </w:pPr>
    </w:p>
    <w:sectPr>
      <w:footerReference r:id="rId22" w:type="default"/>
      <w:pgSz w:w="11906" w:h="16838"/>
      <w:pgMar w:top="2098" w:right="1531" w:bottom="1985" w:left="1531" w:header="85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script"/>
    <w:pitch w:val="default"/>
    <w:sig w:usb0="00000000" w:usb1="00000000" w:usb2="00000010"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宋体"/>
        <w:sz w:val="28"/>
        <w:szCs w:val="28"/>
      </w:rPr>
    </w:pPr>
    <w:r>
      <w:rPr>
        <w:rStyle w:val="25"/>
        <w:rFonts w:hint="eastAsia" w:ascii="宋体"/>
        <w:color w:val="FFFFFF"/>
        <w:sz w:val="28"/>
        <w:szCs w:val="28"/>
      </w:rPr>
      <w:t>—</w:t>
    </w:r>
    <w:r>
      <w:rPr>
        <w:rStyle w:val="25"/>
        <w:rFonts w:hint="eastAsia" w:ascii="宋体"/>
        <w:sz w:val="28"/>
        <w:szCs w:val="28"/>
      </w:rPr>
      <w:t xml:space="preserve">— </w:t>
    </w:r>
    <w:r>
      <w:rPr>
        <w:rStyle w:val="25"/>
        <w:rFonts w:hint="eastAsia" w:ascii="宋体"/>
        <w:sz w:val="28"/>
        <w:szCs w:val="28"/>
      </w:rPr>
      <w:fldChar w:fldCharType="begin"/>
    </w:r>
    <w:r>
      <w:rPr>
        <w:rStyle w:val="25"/>
        <w:rFonts w:hint="eastAsia" w:ascii="宋体"/>
        <w:sz w:val="28"/>
        <w:szCs w:val="28"/>
      </w:rPr>
      <w:instrText xml:space="preserve">PAGE  </w:instrText>
    </w:r>
    <w:r>
      <w:rPr>
        <w:rStyle w:val="25"/>
        <w:rFonts w:hint="eastAsia" w:ascii="宋体"/>
        <w:sz w:val="28"/>
        <w:szCs w:val="28"/>
      </w:rPr>
      <w:fldChar w:fldCharType="separate"/>
    </w:r>
    <w:r>
      <w:rPr>
        <w:rStyle w:val="25"/>
        <w:rFonts w:ascii="宋体"/>
        <w:sz w:val="28"/>
        <w:szCs w:val="28"/>
      </w:rPr>
      <w:t>9</w:t>
    </w:r>
    <w:r>
      <w:rPr>
        <w:rStyle w:val="25"/>
        <w:rFonts w:hint="eastAsia" w:ascii="宋体"/>
        <w:sz w:val="28"/>
        <w:szCs w:val="28"/>
      </w:rPr>
      <w:fldChar w:fldCharType="end"/>
    </w:r>
    <w:r>
      <w:rPr>
        <w:rStyle w:val="25"/>
        <w:rFonts w:hint="eastAsia" w:ascii="宋体"/>
        <w:sz w:val="28"/>
        <w:szCs w:val="28"/>
      </w:rPr>
      <w:t xml:space="preserve"> —</w:t>
    </w:r>
    <w:r>
      <w:rPr>
        <w:rStyle w:val="25"/>
        <w:rFonts w:hint="eastAsia" w:ascii="宋体"/>
        <w:color w:val="FFFFFF"/>
        <w:sz w:val="28"/>
        <w:szCs w:val="28"/>
      </w:rPr>
      <w:t>—</w:t>
    </w:r>
  </w:p>
  <w:p>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01"/>
  <w:drawingGridVerticalSpacing w:val="59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MGQ1ZDc1NzZiN2NlMjU5OWUzNGM4YzZhMzMyOGQifQ=="/>
  </w:docVars>
  <w:rsids>
    <w:rsidRoot w:val="002E2B1B"/>
    <w:rsid w:val="000162F2"/>
    <w:rsid w:val="00020573"/>
    <w:rsid w:val="00030000"/>
    <w:rsid w:val="0004493F"/>
    <w:rsid w:val="000B5001"/>
    <w:rsid w:val="000B5584"/>
    <w:rsid w:val="000D06F4"/>
    <w:rsid w:val="000D4AF4"/>
    <w:rsid w:val="00132CBB"/>
    <w:rsid w:val="00156CC0"/>
    <w:rsid w:val="001772EC"/>
    <w:rsid w:val="001C0EF0"/>
    <w:rsid w:val="001E2F28"/>
    <w:rsid w:val="001F35EE"/>
    <w:rsid w:val="00231C79"/>
    <w:rsid w:val="002370E4"/>
    <w:rsid w:val="00260D91"/>
    <w:rsid w:val="00265785"/>
    <w:rsid w:val="00293A0A"/>
    <w:rsid w:val="002A26A6"/>
    <w:rsid w:val="002B194C"/>
    <w:rsid w:val="002D3CE8"/>
    <w:rsid w:val="003501B5"/>
    <w:rsid w:val="0043139F"/>
    <w:rsid w:val="0045726B"/>
    <w:rsid w:val="004670F6"/>
    <w:rsid w:val="00474F5A"/>
    <w:rsid w:val="004A19BD"/>
    <w:rsid w:val="004D786C"/>
    <w:rsid w:val="004E1ACE"/>
    <w:rsid w:val="00507AEC"/>
    <w:rsid w:val="005534D4"/>
    <w:rsid w:val="005B191B"/>
    <w:rsid w:val="00607E1C"/>
    <w:rsid w:val="006169B1"/>
    <w:rsid w:val="006324C4"/>
    <w:rsid w:val="00680A52"/>
    <w:rsid w:val="006909EA"/>
    <w:rsid w:val="006C039F"/>
    <w:rsid w:val="006E40CD"/>
    <w:rsid w:val="006E6B10"/>
    <w:rsid w:val="00724ADC"/>
    <w:rsid w:val="00732E06"/>
    <w:rsid w:val="007530E8"/>
    <w:rsid w:val="007B5DB1"/>
    <w:rsid w:val="007C73B3"/>
    <w:rsid w:val="007E32B0"/>
    <w:rsid w:val="007F1129"/>
    <w:rsid w:val="00823C51"/>
    <w:rsid w:val="00823CA3"/>
    <w:rsid w:val="00845A09"/>
    <w:rsid w:val="008A1F68"/>
    <w:rsid w:val="008B57F4"/>
    <w:rsid w:val="008C209B"/>
    <w:rsid w:val="009303A0"/>
    <w:rsid w:val="00961178"/>
    <w:rsid w:val="009969BF"/>
    <w:rsid w:val="009B00D0"/>
    <w:rsid w:val="009B79D0"/>
    <w:rsid w:val="009E3264"/>
    <w:rsid w:val="00A01ED1"/>
    <w:rsid w:val="00A1344D"/>
    <w:rsid w:val="00A80DD2"/>
    <w:rsid w:val="00A81EF6"/>
    <w:rsid w:val="00A87A3A"/>
    <w:rsid w:val="00AA1FC5"/>
    <w:rsid w:val="00AD117C"/>
    <w:rsid w:val="00AE7619"/>
    <w:rsid w:val="00AF3D91"/>
    <w:rsid w:val="00B43CAE"/>
    <w:rsid w:val="00B656BB"/>
    <w:rsid w:val="00BB5CCB"/>
    <w:rsid w:val="00BE3036"/>
    <w:rsid w:val="00BF626C"/>
    <w:rsid w:val="00C20A85"/>
    <w:rsid w:val="00C351AF"/>
    <w:rsid w:val="00C56F70"/>
    <w:rsid w:val="00C6472F"/>
    <w:rsid w:val="00C67BBF"/>
    <w:rsid w:val="00CA61A9"/>
    <w:rsid w:val="00D946A2"/>
    <w:rsid w:val="00DA3F1E"/>
    <w:rsid w:val="00DA4FDA"/>
    <w:rsid w:val="00DA54D3"/>
    <w:rsid w:val="00DC3353"/>
    <w:rsid w:val="00DF04D8"/>
    <w:rsid w:val="00E04D9D"/>
    <w:rsid w:val="00E15E55"/>
    <w:rsid w:val="00E84C4C"/>
    <w:rsid w:val="00F17404"/>
    <w:rsid w:val="00F31ADC"/>
    <w:rsid w:val="00F46D15"/>
    <w:rsid w:val="00FB5286"/>
    <w:rsid w:val="013B0127"/>
    <w:rsid w:val="01D97F51"/>
    <w:rsid w:val="02185A22"/>
    <w:rsid w:val="026A5B40"/>
    <w:rsid w:val="02F14CE7"/>
    <w:rsid w:val="0372694E"/>
    <w:rsid w:val="03CF75C5"/>
    <w:rsid w:val="04785EAF"/>
    <w:rsid w:val="04E377CC"/>
    <w:rsid w:val="04EB1DB4"/>
    <w:rsid w:val="05790131"/>
    <w:rsid w:val="061918B8"/>
    <w:rsid w:val="06380D10"/>
    <w:rsid w:val="06692A07"/>
    <w:rsid w:val="067B57E2"/>
    <w:rsid w:val="06DFD891"/>
    <w:rsid w:val="077741FC"/>
    <w:rsid w:val="09167E50"/>
    <w:rsid w:val="098759A8"/>
    <w:rsid w:val="09B90AFC"/>
    <w:rsid w:val="0A2226CE"/>
    <w:rsid w:val="0A3E2147"/>
    <w:rsid w:val="0A5B2038"/>
    <w:rsid w:val="0B116715"/>
    <w:rsid w:val="0B2C17A1"/>
    <w:rsid w:val="0B512B1F"/>
    <w:rsid w:val="0BCB01A5"/>
    <w:rsid w:val="0C3E353A"/>
    <w:rsid w:val="0C790A16"/>
    <w:rsid w:val="0DBC0BBA"/>
    <w:rsid w:val="0E165134"/>
    <w:rsid w:val="0E3B2429"/>
    <w:rsid w:val="0E9A3896"/>
    <w:rsid w:val="0E9E4764"/>
    <w:rsid w:val="0EAA22A9"/>
    <w:rsid w:val="0FFB1889"/>
    <w:rsid w:val="10501A8E"/>
    <w:rsid w:val="108FA288"/>
    <w:rsid w:val="11D5049D"/>
    <w:rsid w:val="125F245C"/>
    <w:rsid w:val="12C235D4"/>
    <w:rsid w:val="133650B7"/>
    <w:rsid w:val="13696F1F"/>
    <w:rsid w:val="148D505F"/>
    <w:rsid w:val="15862656"/>
    <w:rsid w:val="158FEA79"/>
    <w:rsid w:val="15914096"/>
    <w:rsid w:val="15F22707"/>
    <w:rsid w:val="16143E01"/>
    <w:rsid w:val="16DB4B3A"/>
    <w:rsid w:val="17465999"/>
    <w:rsid w:val="175A1685"/>
    <w:rsid w:val="175B1321"/>
    <w:rsid w:val="17EF2E23"/>
    <w:rsid w:val="183103F7"/>
    <w:rsid w:val="18DF6D3B"/>
    <w:rsid w:val="18E524E5"/>
    <w:rsid w:val="18E67EA6"/>
    <w:rsid w:val="18F211BF"/>
    <w:rsid w:val="198805EA"/>
    <w:rsid w:val="19C85A30"/>
    <w:rsid w:val="1A63371A"/>
    <w:rsid w:val="1BFB3328"/>
    <w:rsid w:val="1DF74DA4"/>
    <w:rsid w:val="1EF06916"/>
    <w:rsid w:val="1EF55C66"/>
    <w:rsid w:val="1F5B5058"/>
    <w:rsid w:val="1FDF838D"/>
    <w:rsid w:val="1FDFF6B3"/>
    <w:rsid w:val="203838DC"/>
    <w:rsid w:val="20D12B0B"/>
    <w:rsid w:val="20ED053C"/>
    <w:rsid w:val="20FC537C"/>
    <w:rsid w:val="2148668F"/>
    <w:rsid w:val="21582096"/>
    <w:rsid w:val="217843F2"/>
    <w:rsid w:val="21BC7EF3"/>
    <w:rsid w:val="22410C39"/>
    <w:rsid w:val="224B7BA3"/>
    <w:rsid w:val="2323790C"/>
    <w:rsid w:val="239E21FE"/>
    <w:rsid w:val="246F652F"/>
    <w:rsid w:val="255433F4"/>
    <w:rsid w:val="26236654"/>
    <w:rsid w:val="26CD2FFD"/>
    <w:rsid w:val="273A7D00"/>
    <w:rsid w:val="27F2503F"/>
    <w:rsid w:val="28A82660"/>
    <w:rsid w:val="293143F3"/>
    <w:rsid w:val="29FB3F49"/>
    <w:rsid w:val="2A06342B"/>
    <w:rsid w:val="2AA61015"/>
    <w:rsid w:val="2B494D07"/>
    <w:rsid w:val="2BAB10A3"/>
    <w:rsid w:val="2C206FF3"/>
    <w:rsid w:val="2CED3CF7"/>
    <w:rsid w:val="2D5B0732"/>
    <w:rsid w:val="2D5FA81D"/>
    <w:rsid w:val="2D7503AA"/>
    <w:rsid w:val="2EE873AA"/>
    <w:rsid w:val="2EFF602E"/>
    <w:rsid w:val="2F1A353B"/>
    <w:rsid w:val="2FE21D71"/>
    <w:rsid w:val="2FE3FCAC"/>
    <w:rsid w:val="2FFC11A6"/>
    <w:rsid w:val="30944FB8"/>
    <w:rsid w:val="30AA2390"/>
    <w:rsid w:val="30EFC15D"/>
    <w:rsid w:val="312E42CD"/>
    <w:rsid w:val="312F4B3C"/>
    <w:rsid w:val="31464ABB"/>
    <w:rsid w:val="316941C1"/>
    <w:rsid w:val="31833AED"/>
    <w:rsid w:val="31EF17A7"/>
    <w:rsid w:val="32F34B17"/>
    <w:rsid w:val="32FF3174"/>
    <w:rsid w:val="3380750C"/>
    <w:rsid w:val="33C7178B"/>
    <w:rsid w:val="33FFFB50"/>
    <w:rsid w:val="343C4B87"/>
    <w:rsid w:val="348A4CBF"/>
    <w:rsid w:val="34BF5929"/>
    <w:rsid w:val="34E25DE6"/>
    <w:rsid w:val="352D27C8"/>
    <w:rsid w:val="35532A0A"/>
    <w:rsid w:val="36002857"/>
    <w:rsid w:val="362058DB"/>
    <w:rsid w:val="363446B5"/>
    <w:rsid w:val="36CA3A99"/>
    <w:rsid w:val="3779A46B"/>
    <w:rsid w:val="37BF190A"/>
    <w:rsid w:val="37BF3731"/>
    <w:rsid w:val="37F4701F"/>
    <w:rsid w:val="37F75725"/>
    <w:rsid w:val="37FF93C4"/>
    <w:rsid w:val="38734F5F"/>
    <w:rsid w:val="38A071A7"/>
    <w:rsid w:val="38C31251"/>
    <w:rsid w:val="38CC509F"/>
    <w:rsid w:val="38DF5FF4"/>
    <w:rsid w:val="38EB2835"/>
    <w:rsid w:val="38F17A02"/>
    <w:rsid w:val="394A2C6F"/>
    <w:rsid w:val="3992755D"/>
    <w:rsid w:val="3B3BA674"/>
    <w:rsid w:val="3B4F0A5F"/>
    <w:rsid w:val="3B7FADE0"/>
    <w:rsid w:val="3BFDF8C9"/>
    <w:rsid w:val="3C3E282E"/>
    <w:rsid w:val="3C4340D1"/>
    <w:rsid w:val="3C5462DE"/>
    <w:rsid w:val="3C7D2CDF"/>
    <w:rsid w:val="3DA768E2"/>
    <w:rsid w:val="3DE4F357"/>
    <w:rsid w:val="3E0F101B"/>
    <w:rsid w:val="3E37B1EA"/>
    <w:rsid w:val="3E3C34CE"/>
    <w:rsid w:val="3EAB1478"/>
    <w:rsid w:val="3EC55271"/>
    <w:rsid w:val="3EDFD039"/>
    <w:rsid w:val="3EE83754"/>
    <w:rsid w:val="3F3BCB8E"/>
    <w:rsid w:val="3F473ED8"/>
    <w:rsid w:val="3FAE4497"/>
    <w:rsid w:val="3FB6CBB6"/>
    <w:rsid w:val="3FBA994E"/>
    <w:rsid w:val="3FBF2824"/>
    <w:rsid w:val="3FD5D76B"/>
    <w:rsid w:val="3FD75894"/>
    <w:rsid w:val="3FEEE030"/>
    <w:rsid w:val="3FF50DFE"/>
    <w:rsid w:val="40B040A7"/>
    <w:rsid w:val="411C00C9"/>
    <w:rsid w:val="412D49ED"/>
    <w:rsid w:val="414B383A"/>
    <w:rsid w:val="41B71C37"/>
    <w:rsid w:val="42034EC4"/>
    <w:rsid w:val="42A179FD"/>
    <w:rsid w:val="42DC5FBB"/>
    <w:rsid w:val="43030A5E"/>
    <w:rsid w:val="43075F93"/>
    <w:rsid w:val="43134FE5"/>
    <w:rsid w:val="437102E7"/>
    <w:rsid w:val="43BF6383"/>
    <w:rsid w:val="43D14837"/>
    <w:rsid w:val="442A5B77"/>
    <w:rsid w:val="44C45A79"/>
    <w:rsid w:val="44C86E59"/>
    <w:rsid w:val="454F7FC4"/>
    <w:rsid w:val="4604288B"/>
    <w:rsid w:val="46344C9A"/>
    <w:rsid w:val="46510A68"/>
    <w:rsid w:val="46BF89D4"/>
    <w:rsid w:val="46CB53EF"/>
    <w:rsid w:val="473B153D"/>
    <w:rsid w:val="47BB36B5"/>
    <w:rsid w:val="48231A8D"/>
    <w:rsid w:val="48684EBF"/>
    <w:rsid w:val="4893018E"/>
    <w:rsid w:val="49B96715"/>
    <w:rsid w:val="49D92519"/>
    <w:rsid w:val="4A857FAB"/>
    <w:rsid w:val="4B3B68BB"/>
    <w:rsid w:val="4BF947AC"/>
    <w:rsid w:val="4BFE667C"/>
    <w:rsid w:val="4C20442F"/>
    <w:rsid w:val="4C6635FB"/>
    <w:rsid w:val="4DA8055B"/>
    <w:rsid w:val="4DAF03B5"/>
    <w:rsid w:val="4E0B4C6B"/>
    <w:rsid w:val="4E5E7468"/>
    <w:rsid w:val="4EAC1FAA"/>
    <w:rsid w:val="4EF030B0"/>
    <w:rsid w:val="4F53590E"/>
    <w:rsid w:val="4F553370"/>
    <w:rsid w:val="4FF3D993"/>
    <w:rsid w:val="503B10C2"/>
    <w:rsid w:val="522B66DE"/>
    <w:rsid w:val="527903F5"/>
    <w:rsid w:val="52AF6FCF"/>
    <w:rsid w:val="52BB569C"/>
    <w:rsid w:val="52C111A7"/>
    <w:rsid w:val="53791177"/>
    <w:rsid w:val="539F391C"/>
    <w:rsid w:val="53A476F3"/>
    <w:rsid w:val="53B44063"/>
    <w:rsid w:val="542406F9"/>
    <w:rsid w:val="54334D27"/>
    <w:rsid w:val="546E7F7F"/>
    <w:rsid w:val="54B95421"/>
    <w:rsid w:val="55597F10"/>
    <w:rsid w:val="561D4D99"/>
    <w:rsid w:val="5673E327"/>
    <w:rsid w:val="5674DFA1"/>
    <w:rsid w:val="56BD7A32"/>
    <w:rsid w:val="56EDD616"/>
    <w:rsid w:val="56F715F4"/>
    <w:rsid w:val="571B5091"/>
    <w:rsid w:val="5762DE80"/>
    <w:rsid w:val="577EB433"/>
    <w:rsid w:val="5780176A"/>
    <w:rsid w:val="578F4F11"/>
    <w:rsid w:val="57D79B5A"/>
    <w:rsid w:val="57EF2785"/>
    <w:rsid w:val="57F71D68"/>
    <w:rsid w:val="595F0781"/>
    <w:rsid w:val="5A380B96"/>
    <w:rsid w:val="5A7C4F26"/>
    <w:rsid w:val="5B0B77CE"/>
    <w:rsid w:val="5B266C40"/>
    <w:rsid w:val="5B773940"/>
    <w:rsid w:val="5BE86F2C"/>
    <w:rsid w:val="5BE9710B"/>
    <w:rsid w:val="5BF6C8CB"/>
    <w:rsid w:val="5BFFB67A"/>
    <w:rsid w:val="5C4F3201"/>
    <w:rsid w:val="5CEC5C67"/>
    <w:rsid w:val="5D4635C9"/>
    <w:rsid w:val="5D7A373F"/>
    <w:rsid w:val="5DBFAEED"/>
    <w:rsid w:val="5DFDB3B7"/>
    <w:rsid w:val="5E242747"/>
    <w:rsid w:val="5E3F284A"/>
    <w:rsid w:val="5E5F22B3"/>
    <w:rsid w:val="5E7FA5FB"/>
    <w:rsid w:val="5E993BCD"/>
    <w:rsid w:val="5EEDD0FC"/>
    <w:rsid w:val="5EFFBF86"/>
    <w:rsid w:val="5F475654"/>
    <w:rsid w:val="5F5773D7"/>
    <w:rsid w:val="5F6097A3"/>
    <w:rsid w:val="5F94D1C0"/>
    <w:rsid w:val="5FB23198"/>
    <w:rsid w:val="5FBDF7A8"/>
    <w:rsid w:val="5FC35153"/>
    <w:rsid w:val="5FDBFA71"/>
    <w:rsid w:val="5FE315A4"/>
    <w:rsid w:val="5FF67768"/>
    <w:rsid w:val="5FFA31FD"/>
    <w:rsid w:val="5FFD798E"/>
    <w:rsid w:val="5FFE84B2"/>
    <w:rsid w:val="5FFF2A47"/>
    <w:rsid w:val="5FFF71C5"/>
    <w:rsid w:val="5FFF73C8"/>
    <w:rsid w:val="605C0804"/>
    <w:rsid w:val="609E3308"/>
    <w:rsid w:val="60FA16F8"/>
    <w:rsid w:val="61F45CEA"/>
    <w:rsid w:val="626D15F8"/>
    <w:rsid w:val="628030DA"/>
    <w:rsid w:val="63113A6F"/>
    <w:rsid w:val="647B26AE"/>
    <w:rsid w:val="64D7FBEB"/>
    <w:rsid w:val="651E4E2C"/>
    <w:rsid w:val="65E87914"/>
    <w:rsid w:val="661B3DDE"/>
    <w:rsid w:val="664F9AEA"/>
    <w:rsid w:val="66FB4E6B"/>
    <w:rsid w:val="66FD119D"/>
    <w:rsid w:val="66FFCA7A"/>
    <w:rsid w:val="67193AFD"/>
    <w:rsid w:val="671953E6"/>
    <w:rsid w:val="672BDE2C"/>
    <w:rsid w:val="6736645D"/>
    <w:rsid w:val="67D767ED"/>
    <w:rsid w:val="67F3390B"/>
    <w:rsid w:val="68273FF7"/>
    <w:rsid w:val="68503DB3"/>
    <w:rsid w:val="68AB2E7A"/>
    <w:rsid w:val="69475E5E"/>
    <w:rsid w:val="6957A4BA"/>
    <w:rsid w:val="69C05421"/>
    <w:rsid w:val="69DBB7A5"/>
    <w:rsid w:val="6A042842"/>
    <w:rsid w:val="6A1055EE"/>
    <w:rsid w:val="6A4E3AF8"/>
    <w:rsid w:val="6A6F60F8"/>
    <w:rsid w:val="6A732BD4"/>
    <w:rsid w:val="6AFF99E9"/>
    <w:rsid w:val="6B1271E1"/>
    <w:rsid w:val="6BA8209D"/>
    <w:rsid w:val="6BB7B436"/>
    <w:rsid w:val="6BCF0FEF"/>
    <w:rsid w:val="6BD36970"/>
    <w:rsid w:val="6BDB2472"/>
    <w:rsid w:val="6BDE585E"/>
    <w:rsid w:val="6BDFF121"/>
    <w:rsid w:val="6BF7D0AC"/>
    <w:rsid w:val="6C77554D"/>
    <w:rsid w:val="6C8D67BC"/>
    <w:rsid w:val="6D2D20B0"/>
    <w:rsid w:val="6D3450DB"/>
    <w:rsid w:val="6D6D5197"/>
    <w:rsid w:val="6D779669"/>
    <w:rsid w:val="6DEFD9EB"/>
    <w:rsid w:val="6E0139A1"/>
    <w:rsid w:val="6EFA08DB"/>
    <w:rsid w:val="6F2C66C4"/>
    <w:rsid w:val="6F3FE1BD"/>
    <w:rsid w:val="6F4DD766"/>
    <w:rsid w:val="6F7400F2"/>
    <w:rsid w:val="6F83245B"/>
    <w:rsid w:val="6FFE7746"/>
    <w:rsid w:val="6FFF67BC"/>
    <w:rsid w:val="6FFFBE16"/>
    <w:rsid w:val="6FFFF216"/>
    <w:rsid w:val="70726F06"/>
    <w:rsid w:val="71971BC0"/>
    <w:rsid w:val="719A3A8C"/>
    <w:rsid w:val="71CA611F"/>
    <w:rsid w:val="72084E9A"/>
    <w:rsid w:val="73056611"/>
    <w:rsid w:val="731FD474"/>
    <w:rsid w:val="73D9E7D9"/>
    <w:rsid w:val="73F1E91E"/>
    <w:rsid w:val="73FE3626"/>
    <w:rsid w:val="74393F8F"/>
    <w:rsid w:val="744F096B"/>
    <w:rsid w:val="745368A0"/>
    <w:rsid w:val="74F7E240"/>
    <w:rsid w:val="7583276D"/>
    <w:rsid w:val="75DF8B95"/>
    <w:rsid w:val="75E44CC4"/>
    <w:rsid w:val="75EAE481"/>
    <w:rsid w:val="75EDBBD2"/>
    <w:rsid w:val="7602086F"/>
    <w:rsid w:val="767825EE"/>
    <w:rsid w:val="767930FF"/>
    <w:rsid w:val="769AA469"/>
    <w:rsid w:val="76BE5A84"/>
    <w:rsid w:val="76D2557E"/>
    <w:rsid w:val="76DEE713"/>
    <w:rsid w:val="77463A7D"/>
    <w:rsid w:val="77714659"/>
    <w:rsid w:val="77BDE3FC"/>
    <w:rsid w:val="77BFA812"/>
    <w:rsid w:val="77EEDAD8"/>
    <w:rsid w:val="77F0667C"/>
    <w:rsid w:val="77F57C6E"/>
    <w:rsid w:val="77FCC405"/>
    <w:rsid w:val="77FEC28D"/>
    <w:rsid w:val="77FFD97F"/>
    <w:rsid w:val="78FFDCF4"/>
    <w:rsid w:val="794E7636"/>
    <w:rsid w:val="797F6875"/>
    <w:rsid w:val="79B006E2"/>
    <w:rsid w:val="79E7AD06"/>
    <w:rsid w:val="79E955B1"/>
    <w:rsid w:val="79FC185D"/>
    <w:rsid w:val="7A41719B"/>
    <w:rsid w:val="7A7B63B8"/>
    <w:rsid w:val="7A7FD5D7"/>
    <w:rsid w:val="7A8B510C"/>
    <w:rsid w:val="7ABBE049"/>
    <w:rsid w:val="7ABE4C8F"/>
    <w:rsid w:val="7ACA7966"/>
    <w:rsid w:val="7AF658A1"/>
    <w:rsid w:val="7B1B0E91"/>
    <w:rsid w:val="7B4DC59D"/>
    <w:rsid w:val="7B77FB6D"/>
    <w:rsid w:val="7B7AB3B1"/>
    <w:rsid w:val="7B7BF396"/>
    <w:rsid w:val="7BD24EBF"/>
    <w:rsid w:val="7BE93AE6"/>
    <w:rsid w:val="7BF7A6B0"/>
    <w:rsid w:val="7BFB63A1"/>
    <w:rsid w:val="7C7ADAFE"/>
    <w:rsid w:val="7CA12173"/>
    <w:rsid w:val="7CAF6C06"/>
    <w:rsid w:val="7CBBD810"/>
    <w:rsid w:val="7CE7A7A6"/>
    <w:rsid w:val="7CEEF176"/>
    <w:rsid w:val="7D3132AE"/>
    <w:rsid w:val="7D3A4C58"/>
    <w:rsid w:val="7D55D945"/>
    <w:rsid w:val="7D6FCD90"/>
    <w:rsid w:val="7D7A04E2"/>
    <w:rsid w:val="7D7A1DFF"/>
    <w:rsid w:val="7D7DC8B6"/>
    <w:rsid w:val="7DB53F52"/>
    <w:rsid w:val="7DB67E25"/>
    <w:rsid w:val="7DB7C638"/>
    <w:rsid w:val="7DBB746E"/>
    <w:rsid w:val="7DC564BE"/>
    <w:rsid w:val="7DDD31EE"/>
    <w:rsid w:val="7DF3C30B"/>
    <w:rsid w:val="7DF7E20A"/>
    <w:rsid w:val="7DFD314F"/>
    <w:rsid w:val="7E6DA6C0"/>
    <w:rsid w:val="7E7F4FCA"/>
    <w:rsid w:val="7E7FF60A"/>
    <w:rsid w:val="7E9E2E0E"/>
    <w:rsid w:val="7ED7E77B"/>
    <w:rsid w:val="7EEF18BB"/>
    <w:rsid w:val="7EF95266"/>
    <w:rsid w:val="7EFDA32B"/>
    <w:rsid w:val="7EFE2E3F"/>
    <w:rsid w:val="7EFF313C"/>
    <w:rsid w:val="7F274AE4"/>
    <w:rsid w:val="7F2826D7"/>
    <w:rsid w:val="7F2B63C8"/>
    <w:rsid w:val="7F43C910"/>
    <w:rsid w:val="7F59CB68"/>
    <w:rsid w:val="7F67B9EE"/>
    <w:rsid w:val="7F7B039C"/>
    <w:rsid w:val="7F9E115B"/>
    <w:rsid w:val="7FB718CF"/>
    <w:rsid w:val="7FB9A747"/>
    <w:rsid w:val="7FBE1402"/>
    <w:rsid w:val="7FBF945A"/>
    <w:rsid w:val="7FC7E485"/>
    <w:rsid w:val="7FCF0809"/>
    <w:rsid w:val="7FD25BBE"/>
    <w:rsid w:val="7FD4E309"/>
    <w:rsid w:val="7FDD79EF"/>
    <w:rsid w:val="7FF727B4"/>
    <w:rsid w:val="7FF80FF0"/>
    <w:rsid w:val="7FFC47BE"/>
    <w:rsid w:val="7FFD630D"/>
    <w:rsid w:val="7FFE8F39"/>
    <w:rsid w:val="8BFBAE9F"/>
    <w:rsid w:val="8CFF261E"/>
    <w:rsid w:val="8FDD25DD"/>
    <w:rsid w:val="947B2CEE"/>
    <w:rsid w:val="95730D6E"/>
    <w:rsid w:val="9A5FA4CA"/>
    <w:rsid w:val="9DFF7F16"/>
    <w:rsid w:val="9EFF9975"/>
    <w:rsid w:val="9F57D862"/>
    <w:rsid w:val="9FCFDC99"/>
    <w:rsid w:val="9FFBF31A"/>
    <w:rsid w:val="A5BF1F42"/>
    <w:rsid w:val="A5F94C56"/>
    <w:rsid w:val="AACFF940"/>
    <w:rsid w:val="ABBF6922"/>
    <w:rsid w:val="ABDF3221"/>
    <w:rsid w:val="ADEF90FE"/>
    <w:rsid w:val="AEBE0B01"/>
    <w:rsid w:val="AF3B483E"/>
    <w:rsid w:val="AFC7BF4C"/>
    <w:rsid w:val="AFFE8029"/>
    <w:rsid w:val="AFFF33AF"/>
    <w:rsid w:val="B1FF8B6C"/>
    <w:rsid w:val="B3FEF19B"/>
    <w:rsid w:val="B4E7F45B"/>
    <w:rsid w:val="B577F342"/>
    <w:rsid w:val="B58D62E7"/>
    <w:rsid w:val="B69DCFAA"/>
    <w:rsid w:val="B6BFCCEB"/>
    <w:rsid w:val="B7DB8F22"/>
    <w:rsid w:val="B7DEE51C"/>
    <w:rsid w:val="B7F6FB82"/>
    <w:rsid w:val="B7FAF1E4"/>
    <w:rsid w:val="B7FB5B59"/>
    <w:rsid w:val="B85F803D"/>
    <w:rsid w:val="B8CE4134"/>
    <w:rsid w:val="B9FFA9BB"/>
    <w:rsid w:val="BA7EF03E"/>
    <w:rsid w:val="BB5FD44F"/>
    <w:rsid w:val="BB72FCB3"/>
    <w:rsid w:val="BCEF14AD"/>
    <w:rsid w:val="BCF99616"/>
    <w:rsid w:val="BCFD571D"/>
    <w:rsid w:val="BD6C4348"/>
    <w:rsid w:val="BDC160E3"/>
    <w:rsid w:val="BDEF150E"/>
    <w:rsid w:val="BDFE3F53"/>
    <w:rsid w:val="BEA5734F"/>
    <w:rsid w:val="BEC69210"/>
    <w:rsid w:val="BEDF78FB"/>
    <w:rsid w:val="BEEF8C56"/>
    <w:rsid w:val="BF6B926C"/>
    <w:rsid w:val="BF7EBE77"/>
    <w:rsid w:val="BF7FD1EB"/>
    <w:rsid w:val="BF9D1C99"/>
    <w:rsid w:val="BFDF337A"/>
    <w:rsid w:val="BFF96F14"/>
    <w:rsid w:val="BFF99F74"/>
    <w:rsid w:val="BFFBD1C8"/>
    <w:rsid w:val="BFFDE177"/>
    <w:rsid w:val="C1FB9CC2"/>
    <w:rsid w:val="C3BE739C"/>
    <w:rsid w:val="C3FFCB35"/>
    <w:rsid w:val="C91FB088"/>
    <w:rsid w:val="CB6BAA54"/>
    <w:rsid w:val="CDFFB36E"/>
    <w:rsid w:val="CF9F856A"/>
    <w:rsid w:val="D0FA83CF"/>
    <w:rsid w:val="D3FF2B24"/>
    <w:rsid w:val="D6C3EAEB"/>
    <w:rsid w:val="D6ED7548"/>
    <w:rsid w:val="D71EDE6C"/>
    <w:rsid w:val="D76D133B"/>
    <w:rsid w:val="D7F78509"/>
    <w:rsid w:val="D9FFC1AA"/>
    <w:rsid w:val="DA5AF1B6"/>
    <w:rsid w:val="DB3F13A7"/>
    <w:rsid w:val="DB7E0629"/>
    <w:rsid w:val="DBDE95AE"/>
    <w:rsid w:val="DBEBF74A"/>
    <w:rsid w:val="DBFF5860"/>
    <w:rsid w:val="DD9CC994"/>
    <w:rsid w:val="DDBDF223"/>
    <w:rsid w:val="DDD63A02"/>
    <w:rsid w:val="DDE6E974"/>
    <w:rsid w:val="DEEF4EB9"/>
    <w:rsid w:val="DEF7B184"/>
    <w:rsid w:val="DEFF79F2"/>
    <w:rsid w:val="DFAD7AA5"/>
    <w:rsid w:val="DFB2611D"/>
    <w:rsid w:val="DFDF2B4B"/>
    <w:rsid w:val="DFEA70DA"/>
    <w:rsid w:val="DFFD0FCB"/>
    <w:rsid w:val="DFFF41C0"/>
    <w:rsid w:val="E6BFFC7C"/>
    <w:rsid w:val="E6FBB8E8"/>
    <w:rsid w:val="E6FD1FE2"/>
    <w:rsid w:val="E7F5DEDF"/>
    <w:rsid w:val="E9FFA5F5"/>
    <w:rsid w:val="EBD5C018"/>
    <w:rsid w:val="EBE5DE54"/>
    <w:rsid w:val="ED3DD733"/>
    <w:rsid w:val="ED8F41A1"/>
    <w:rsid w:val="EDDD22D7"/>
    <w:rsid w:val="EDEF5F2F"/>
    <w:rsid w:val="EDF508FF"/>
    <w:rsid w:val="EEFD9651"/>
    <w:rsid w:val="EF3C29C5"/>
    <w:rsid w:val="EF6FC1D8"/>
    <w:rsid w:val="EF8DDFB9"/>
    <w:rsid w:val="EFADBE97"/>
    <w:rsid w:val="EFAF464D"/>
    <w:rsid w:val="EFC81B3D"/>
    <w:rsid w:val="EFCD6689"/>
    <w:rsid w:val="EFEFE956"/>
    <w:rsid w:val="F16755F5"/>
    <w:rsid w:val="F17F8B67"/>
    <w:rsid w:val="F1DF96FB"/>
    <w:rsid w:val="F2F7CCDB"/>
    <w:rsid w:val="F33EF851"/>
    <w:rsid w:val="F3BD0713"/>
    <w:rsid w:val="F3E789C0"/>
    <w:rsid w:val="F3EA6552"/>
    <w:rsid w:val="F3F64BB8"/>
    <w:rsid w:val="F3FFA228"/>
    <w:rsid w:val="F3FFBF2D"/>
    <w:rsid w:val="F7C789B0"/>
    <w:rsid w:val="F7D16E62"/>
    <w:rsid w:val="F7EAB05C"/>
    <w:rsid w:val="F7FBD488"/>
    <w:rsid w:val="F8E785CA"/>
    <w:rsid w:val="F8FFDA11"/>
    <w:rsid w:val="F934E3AE"/>
    <w:rsid w:val="F9DF1170"/>
    <w:rsid w:val="F9E46677"/>
    <w:rsid w:val="F9FFFD0D"/>
    <w:rsid w:val="FA77D0D4"/>
    <w:rsid w:val="FAE72F75"/>
    <w:rsid w:val="FAFF9BF7"/>
    <w:rsid w:val="FB3FF4A4"/>
    <w:rsid w:val="FB75BD97"/>
    <w:rsid w:val="FB7B251E"/>
    <w:rsid w:val="FB7B41B8"/>
    <w:rsid w:val="FBBF58D8"/>
    <w:rsid w:val="FBCD2C2B"/>
    <w:rsid w:val="FBE5C5D7"/>
    <w:rsid w:val="FBFD5661"/>
    <w:rsid w:val="FBFEC210"/>
    <w:rsid w:val="FC7F525B"/>
    <w:rsid w:val="FCB7A9C3"/>
    <w:rsid w:val="FCDF8F9B"/>
    <w:rsid w:val="FCEF4E9C"/>
    <w:rsid w:val="FCF70BB2"/>
    <w:rsid w:val="FD3E66AB"/>
    <w:rsid w:val="FD67E5D2"/>
    <w:rsid w:val="FD6F2522"/>
    <w:rsid w:val="FD9F4736"/>
    <w:rsid w:val="FDB5B35B"/>
    <w:rsid w:val="FDEFB66F"/>
    <w:rsid w:val="FDFA0FCE"/>
    <w:rsid w:val="FDFDA49F"/>
    <w:rsid w:val="FDFF0575"/>
    <w:rsid w:val="FE5EB94D"/>
    <w:rsid w:val="FE790C2D"/>
    <w:rsid w:val="FE7F94C6"/>
    <w:rsid w:val="FE9EECB7"/>
    <w:rsid w:val="FEF5B502"/>
    <w:rsid w:val="FEFB4943"/>
    <w:rsid w:val="FEFBBE7E"/>
    <w:rsid w:val="FEFFF238"/>
    <w:rsid w:val="FF2E8679"/>
    <w:rsid w:val="FF2EDF13"/>
    <w:rsid w:val="FF372583"/>
    <w:rsid w:val="FF579322"/>
    <w:rsid w:val="FF6F2751"/>
    <w:rsid w:val="FF76D722"/>
    <w:rsid w:val="FF790ACA"/>
    <w:rsid w:val="FF9DE6AA"/>
    <w:rsid w:val="FFA8C0F6"/>
    <w:rsid w:val="FFAF2D21"/>
    <w:rsid w:val="FFAF52E2"/>
    <w:rsid w:val="FFAF743C"/>
    <w:rsid w:val="FFB86DAB"/>
    <w:rsid w:val="FFBEC362"/>
    <w:rsid w:val="FFBFB37A"/>
    <w:rsid w:val="FFCD5593"/>
    <w:rsid w:val="FFDE4643"/>
    <w:rsid w:val="FFDE8082"/>
    <w:rsid w:val="FFE4C337"/>
    <w:rsid w:val="FFE78E79"/>
    <w:rsid w:val="FFEB9F73"/>
    <w:rsid w:val="FFEBF3BB"/>
    <w:rsid w:val="FFEFD287"/>
    <w:rsid w:val="FFEFF10C"/>
    <w:rsid w:val="FFF5DD81"/>
    <w:rsid w:val="FFF7B5AE"/>
    <w:rsid w:val="FFFA3D8C"/>
    <w:rsid w:val="FFFB193A"/>
    <w:rsid w:val="FFFB8B1C"/>
    <w:rsid w:val="FFFBE947"/>
    <w:rsid w:val="FFFDFDA9"/>
    <w:rsid w:val="FFFF1489"/>
    <w:rsid w:val="FFFF529A"/>
    <w:rsid w:val="FFFFB6A6"/>
    <w:rsid w:val="FFFFBC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23">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rPr>
  </w:style>
  <w:style w:type="paragraph" w:styleId="5">
    <w:name w:val="index 5"/>
    <w:basedOn w:val="1"/>
    <w:next w:val="1"/>
    <w:qFormat/>
    <w:uiPriority w:val="0"/>
    <w:pPr>
      <w:ind w:left="800" w:leftChars="800"/>
    </w:pPr>
    <w:rPr>
      <w:rFonts w:ascii="Times New Roman" w:hAnsi="Times New Roman" w:eastAsia="宋体" w:cs="Times New Roman"/>
    </w:rPr>
  </w:style>
  <w:style w:type="paragraph" w:styleId="6">
    <w:name w:val="Body Text"/>
    <w:basedOn w:val="1"/>
    <w:qFormat/>
    <w:uiPriority w:val="0"/>
    <w:pPr>
      <w:spacing w:line="400" w:lineRule="atLeast"/>
    </w:pPr>
    <w:rPr>
      <w:rFonts w:ascii="楷体_GB2312" w:eastAsia="楷体_GB2312"/>
      <w:sz w:val="32"/>
    </w:rPr>
  </w:style>
  <w:style w:type="paragraph" w:styleId="7">
    <w:name w:val="Body Text Indent"/>
    <w:basedOn w:val="1"/>
    <w:next w:val="8"/>
    <w:qFormat/>
    <w:uiPriority w:val="0"/>
    <w:pPr>
      <w:spacing w:line="360" w:lineRule="auto"/>
      <w:ind w:firstLine="200" w:firstLineChars="200"/>
    </w:pPr>
    <w:rPr>
      <w:rFonts w:ascii="方正仿宋_GBK" w:eastAsia="方正仿宋_GBK"/>
      <w:sz w:val="30"/>
    </w:rPr>
  </w:style>
  <w:style w:type="paragraph" w:styleId="8">
    <w:name w:val="Body Text Indent 2"/>
    <w:basedOn w:val="1"/>
    <w:next w:val="9"/>
    <w:qFormat/>
    <w:uiPriority w:val="0"/>
    <w:pPr>
      <w:spacing w:after="120" w:line="480" w:lineRule="auto"/>
      <w:ind w:left="420" w:leftChars="200"/>
    </w:pPr>
    <w:rPr>
      <w:rFonts w:hint="eastAsia"/>
      <w:sz w:val="21"/>
      <w:szCs w:val="24"/>
    </w:rPr>
  </w:style>
  <w:style w:type="paragraph" w:customStyle="1" w:styleId="9">
    <w:name w:val="z正文"/>
    <w:basedOn w:val="10"/>
    <w:unhideWhenUsed/>
    <w:qFormat/>
    <w:uiPriority w:val="0"/>
    <w:pPr>
      <w:snapToGrid w:val="0"/>
      <w:spacing w:line="360" w:lineRule="auto"/>
    </w:pPr>
    <w:rPr>
      <w:rFonts w:hint="eastAsia" w:hAnsi="宋体"/>
      <w:sz w:val="21"/>
      <w:szCs w:val="24"/>
    </w:rPr>
  </w:style>
  <w:style w:type="paragraph" w:styleId="10">
    <w:name w:val="Plain Text"/>
    <w:basedOn w:val="1"/>
    <w:qFormat/>
    <w:uiPriority w:val="0"/>
    <w:rPr>
      <w:rFonts w:hint="eastAsia" w:hAnsi="Courier New"/>
      <w:sz w:val="21"/>
      <w:szCs w:val="24"/>
    </w:rPr>
  </w:style>
  <w:style w:type="paragraph" w:styleId="11">
    <w:name w:val="Date"/>
    <w:basedOn w:val="1"/>
    <w:next w:val="1"/>
    <w:link w:val="30"/>
    <w:qFormat/>
    <w:uiPriority w:val="0"/>
    <w:pPr>
      <w:ind w:left="100" w:leftChars="2500"/>
    </w:pPr>
  </w:style>
  <w:style w:type="paragraph" w:styleId="12">
    <w:name w:val="Balloon Text"/>
    <w:basedOn w:val="1"/>
    <w:qFormat/>
    <w:uiPriority w:val="0"/>
    <w:rPr>
      <w:sz w:val="18"/>
      <w:szCs w:val="18"/>
    </w:rPr>
  </w:style>
  <w:style w:type="paragraph" w:styleId="13">
    <w:name w:val="footer"/>
    <w:basedOn w:val="1"/>
    <w:next w:val="14"/>
    <w:qFormat/>
    <w:uiPriority w:val="0"/>
    <w:pPr>
      <w:tabs>
        <w:tab w:val="center" w:pos="4153"/>
        <w:tab w:val="right" w:pos="8306"/>
      </w:tabs>
      <w:snapToGrid w:val="0"/>
      <w:jc w:val="left"/>
    </w:pPr>
    <w:rPr>
      <w:sz w:val="18"/>
      <w:szCs w:val="18"/>
    </w:rPr>
  </w:style>
  <w:style w:type="paragraph" w:customStyle="1" w:styleId="14">
    <w:name w:val="Index5"/>
    <w:basedOn w:val="1"/>
    <w:next w:val="1"/>
    <w:qFormat/>
    <w:uiPriority w:val="0"/>
    <w:pPr>
      <w:ind w:left="800" w:leftChars="800"/>
    </w:pPr>
    <w:rPr>
      <w:rFonts w:ascii="Times New Roman" w:hAnsi="Times New Roman" w:eastAsia="宋体" w:cs="Times New Roman"/>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qFormat/>
    <w:uiPriority w:val="0"/>
    <w:pPr>
      <w:snapToGrid w:val="0"/>
      <w:jc w:val="left"/>
    </w:pPr>
    <w:rPr>
      <w:rFonts w:hint="eastAsia" w:ascii="Times New Roman" w:hAnsi="Times New Roman" w:eastAsia="宋体" w:cs="Times New Roman"/>
      <w:sz w:val="18"/>
    </w:rPr>
  </w:style>
  <w:style w:type="paragraph" w:styleId="17">
    <w:name w:val="toc 6"/>
    <w:basedOn w:val="1"/>
    <w:next w:val="1"/>
    <w:qFormat/>
    <w:uiPriority w:val="0"/>
    <w:pPr>
      <w:widowControl/>
      <w:wordWrap w:val="0"/>
      <w:spacing w:before="100" w:beforeAutospacing="1" w:after="100" w:afterAutospacing="1"/>
      <w:ind w:left="1700"/>
    </w:pPr>
    <w:rPr>
      <w:rFonts w:ascii="Times New Roman" w:hAnsi="Times New Roman" w:eastAsia="宋体" w:cs="Times New Roman"/>
      <w:kern w:val="0"/>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0"/>
    <w:pPr>
      <w:widowControl/>
      <w:spacing w:before="100" w:beforeAutospacing="1" w:after="100" w:afterAutospacing="1"/>
      <w:jc w:val="left"/>
    </w:pPr>
    <w:rPr>
      <w:rFonts w:ascii="宋体"/>
      <w:color w:val="000000"/>
      <w:kern w:val="0"/>
      <w:sz w:val="24"/>
    </w:rPr>
  </w:style>
  <w:style w:type="paragraph" w:styleId="20">
    <w:name w:val="Body Text First Indent"/>
    <w:basedOn w:val="6"/>
    <w:qFormat/>
    <w:uiPriority w:val="0"/>
    <w:pPr>
      <w:ind w:firstLine="420" w:firstLineChars="100"/>
    </w:pPr>
    <w:rPr>
      <w:rFonts w:hAnsi="Times New Roman" w:cs="Times New Roman"/>
    </w:rPr>
  </w:style>
  <w:style w:type="paragraph" w:styleId="21">
    <w:name w:val="Body Text First Indent 2"/>
    <w:basedOn w:val="7"/>
    <w:next w:val="1"/>
    <w:qFormat/>
    <w:uiPriority w:val="0"/>
    <w:pPr>
      <w:ind w:firstLine="420" w:firstLineChars="200"/>
    </w:pPr>
    <w:rPr>
      <w:rFonts w:hint="eastAsia"/>
      <w:sz w:val="21"/>
      <w:szCs w:val="24"/>
    </w:rPr>
  </w:style>
  <w:style w:type="character" w:styleId="24">
    <w:name w:val="Strong"/>
    <w:basedOn w:val="23"/>
    <w:qFormat/>
    <w:uiPriority w:val="0"/>
    <w:rPr>
      <w:rFonts w:ascii="Times New Roman" w:hAnsi="Times New Roman" w:eastAsia="宋体" w:cs="Times New Roman"/>
      <w:b/>
    </w:rPr>
  </w:style>
  <w:style w:type="character" w:styleId="25">
    <w:name w:val="page number"/>
    <w:basedOn w:val="23"/>
    <w:qFormat/>
    <w:uiPriority w:val="0"/>
  </w:style>
  <w:style w:type="character" w:customStyle="1" w:styleId="26">
    <w:name w:val="日期 Char"/>
    <w:basedOn w:val="23"/>
    <w:link w:val="11"/>
    <w:qFormat/>
    <w:uiPriority w:val="0"/>
    <w:rPr>
      <w:rFonts w:eastAsia="宋体"/>
      <w:kern w:val="2"/>
      <w:sz w:val="21"/>
      <w:szCs w:val="24"/>
    </w:rPr>
  </w:style>
  <w:style w:type="paragraph" w:customStyle="1" w:styleId="27">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8">
    <w:name w:val="Table Text"/>
    <w:basedOn w:val="1"/>
    <w:semiHidden/>
    <w:qFormat/>
    <w:uiPriority w:val="0"/>
    <w:rPr>
      <w:rFonts w:ascii="宋体" w:hAnsi="宋体" w:eastAsia="宋体" w:cs="宋体"/>
      <w:sz w:val="14"/>
      <w:szCs w:val="14"/>
      <w:lang w:val="en-US" w:eastAsia="en-US" w:bidi="ar-SA"/>
    </w:rPr>
  </w:style>
  <w:style w:type="table" w:customStyle="1" w:styleId="29">
    <w:name w:val="Table Normal"/>
    <w:unhideWhenUsed/>
    <w:qFormat/>
    <w:uiPriority w:val="0"/>
    <w:tblPr>
      <w:tblCellMar>
        <w:top w:w="0" w:type="dxa"/>
        <w:left w:w="0" w:type="dxa"/>
        <w:bottom w:w="0" w:type="dxa"/>
        <w:right w:w="0" w:type="dxa"/>
      </w:tblCellMar>
    </w:tblPr>
  </w:style>
  <w:style w:type="character" w:customStyle="1" w:styleId="30">
    <w:name w:val="日期 字符"/>
    <w:link w:val="11"/>
    <w:qFormat/>
    <w:uiPriority w:val="0"/>
    <w:rPr>
      <w:rFonts w:ascii="Times New Roman" w:hAnsi="Times New Roman" w:eastAsia="宋体" w:cs="Times New Roman"/>
      <w:kern w:val="2"/>
      <w:sz w:val="21"/>
      <w:szCs w:val="24"/>
    </w:rPr>
  </w:style>
  <w:style w:type="paragraph" w:customStyle="1" w:styleId="31">
    <w:name w:val="列出段落1"/>
    <w:basedOn w:val="1"/>
    <w:qFormat/>
    <w:uiPriority w:val="0"/>
    <w:pPr>
      <w:ind w:firstLine="420" w:firstLineChars="200"/>
    </w:pPr>
    <w:rPr>
      <w:rFonts w:ascii="Calibri" w:hAnsi="Calibri" w:eastAsia="宋体" w:cs="Calibri"/>
      <w:szCs w:val="21"/>
    </w:rPr>
  </w:style>
  <w:style w:type="paragraph" w:customStyle="1" w:styleId="32">
    <w:name w:val="正文文字"/>
    <w:basedOn w:val="1"/>
    <w:next w:val="1"/>
    <w:qFormat/>
    <w:uiPriority w:val="0"/>
    <w:pPr>
      <w:spacing w:after="120"/>
    </w:pPr>
    <w:rPr>
      <w:rFonts w:ascii="Calibri" w:hAnsi="Calibri" w:eastAsia="宋体" w:cs="Times New Roman"/>
      <w:szCs w:val="24"/>
    </w:rPr>
  </w:style>
  <w:style w:type="paragraph" w:customStyle="1" w:styleId="33">
    <w:name w:val="_Style 32"/>
    <w:unhideWhenUsed/>
    <w:qFormat/>
    <w:uiPriority w:val="99"/>
    <w:rPr>
      <w:rFonts w:ascii="Times New Roman" w:hAnsi="Times New Roman" w:eastAsia="宋体" w:cs="Times New Roman"/>
      <w:kern w:val="2"/>
      <w:sz w:val="21"/>
      <w:szCs w:val="24"/>
      <w:lang w:val="en-US" w:eastAsia="zh-CN" w:bidi="ar-SA"/>
    </w:rPr>
  </w:style>
  <w:style w:type="paragraph" w:styleId="34">
    <w:name w:val="List Paragraph"/>
    <w:basedOn w:val="1"/>
    <w:qFormat/>
    <w:uiPriority w:val="34"/>
    <w:pPr>
      <w:ind w:firstLine="420" w:firstLineChars="200"/>
    </w:pPr>
    <w:rPr>
      <w:rFonts w:ascii="Times New Roman" w:hAnsi="Times New Roman" w:eastAsia="宋体" w:cs="Times New Roman"/>
    </w:rPr>
  </w:style>
  <w:style w:type="paragraph" w:customStyle="1" w:styleId="35">
    <w:name w:val="列出段落11"/>
    <w:basedOn w:val="1"/>
    <w:qFormat/>
    <w:uiPriority w:val="34"/>
    <w:pPr>
      <w:ind w:firstLine="420" w:firstLineChars="200"/>
    </w:pPr>
    <w:rPr>
      <w:rFonts w:ascii="Calibri" w:hAnsi="Calibri" w:eastAsia="宋体" w:cs="黑体"/>
    </w:rPr>
  </w:style>
  <w:style w:type="paragraph" w:customStyle="1" w:styleId="36">
    <w:name w:val="样式4"/>
    <w:basedOn w:val="1"/>
    <w:qFormat/>
    <w:uiPriority w:val="0"/>
    <w:pPr>
      <w:spacing w:line="600" w:lineRule="exact"/>
      <w:ind w:firstLine="746" w:firstLineChars="200"/>
    </w:pPr>
    <w:rPr>
      <w:rFonts w:ascii="Times" w:hAnsi="Times" w:eastAsia="楷体_GB2312" w:cs="Times New Roman"/>
      <w:sz w:val="36"/>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Company>
  <Pages>84</Pages>
  <Words>5959</Words>
  <Characters>6286</Characters>
  <Lines>64</Lines>
  <Paragraphs>18</Paragraphs>
  <TotalTime>1</TotalTime>
  <ScaleCrop>false</ScaleCrop>
  <LinksUpToDate>false</LinksUpToDate>
  <CharactersWithSpaces>6290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2009-12-18T02:25:00Z</dcterms:created>
  <dc:creator>lzlyc</dc:creator>
  <cp:lastModifiedBy>大行动家</cp:lastModifiedBy>
  <cp:lastPrinted>2025-05-22T09:07:00Z</cp:lastPrinted>
  <dcterms:modified xsi:type="dcterms:W3CDTF">2025-07-17T16:53:24Z</dcterms:modified>
  <dc:title>此件拟比照国务院办公厅发文由省政府办公厅转发</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1F690FCA6688AF5A04BA7868B0458D93</vt:lpwstr>
  </property>
</Properties>
</file>